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A N E X O “D”</w:t>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t>PREINFORME DE INSPECCIÓN TÉCNICA ADMINISTRATIVA A LA CAPITANÍA DE PUERTO DE PUERTO CISNES</w:t>
      </w:r>
    </w:p>
    <w:p>
      <w:pPr>
        <w:pStyle w:val="Normal"/>
        <w:spacing w:lineRule="auto" w:line="240"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731" w:type="dxa"/>
        <w:jc w:val="center"/>
        <w:tblInd w:w="0" w:type="dxa"/>
        <w:tblCellMar>
          <w:top w:w="0" w:type="dxa"/>
          <w:left w:w="108" w:type="dxa"/>
          <w:bottom w:w="0" w:type="dxa"/>
          <w:right w:w="108" w:type="dxa"/>
        </w:tblCellMar>
        <w:tblLook w:firstRow="1" w:noVBand="1" w:lastRow="0" w:firstColumn="1" w:lastColumn="0" w:noHBand="0" w:val="04a0"/>
      </w:tblPr>
      <w:tblGrid>
        <w:gridCol w:w="563"/>
        <w:gridCol w:w="2836"/>
        <w:gridCol w:w="2627"/>
        <w:gridCol w:w="2835"/>
        <w:gridCol w:w="4112"/>
        <w:gridCol w:w="2694"/>
        <w:gridCol w:w="2063"/>
      </w:tblGrid>
      <w:tr>
        <w:trPr>
          <w:tblHeader w:val="true"/>
        </w:trPr>
        <w:tc>
          <w:tcPr>
            <w:tcW w:w="563"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c>
          <w:tcPr>
            <w:tcW w:w="15667" w:type="dxa"/>
            <w:gridSpan w:val="6"/>
            <w:tcBorders/>
            <w:vAlign w:val="bottom"/>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p>
            <w:pPr>
              <w:pStyle w:val="Normal"/>
              <w:spacing w:lineRule="auto" w:line="240" w:before="0" w:after="0"/>
              <w:jc w:val="both"/>
              <w:rPr>
                <w:rFonts w:ascii="Arial" w:hAnsi="Arial" w:cs="Arial"/>
                <w:b/>
                <w:b/>
                <w:sz w:val="24"/>
                <w:szCs w:val="24"/>
                <w:lang w:val="es-MX"/>
              </w:rPr>
            </w:pPr>
            <w:r>
              <w:rPr>
                <w:rFonts w:eastAsia="Times New Roman" w:cs="Arial" w:ascii="Arial" w:hAnsi="Arial"/>
                <w:b/>
                <w:bCs/>
                <w:sz w:val="24"/>
                <w:szCs w:val="24"/>
                <w:lang w:eastAsia="es-CL"/>
              </w:rPr>
              <w:t>1.- JEFATURA.</w:t>
            </w:r>
          </w:p>
        </w:tc>
        <w:tc>
          <w:tcPr>
            <w:tcW w:w="2063" w:type="dxa"/>
            <w:tcBorders/>
          </w:tcPr>
          <w:p>
            <w:pPr>
              <w:pStyle w:val="Normal"/>
              <w:spacing w:lineRule="auto" w:line="240" w:before="0" w:after="0"/>
              <w:jc w:val="both"/>
              <w:rPr>
                <w:rFonts w:ascii="Arial" w:hAnsi="Arial" w:cs="Arial"/>
                <w:b/>
                <w:b/>
                <w:sz w:val="16"/>
                <w:szCs w:val="16"/>
                <w:lang w:val="es-MX"/>
              </w:rPr>
            </w:pPr>
            <w:r>
              <w:rPr>
                <w:rFonts w:cs="Arial" w:ascii="Arial" w:hAnsi="Arial"/>
                <w:b/>
                <w:sz w:val="16"/>
                <w:szCs w:val="16"/>
                <w:lang w:val="es-MX"/>
              </w:rPr>
            </w:r>
          </w:p>
        </w:tc>
      </w:tr>
      <w:tr>
        <w:trPr/>
        <w:tc>
          <w:tcPr>
            <w:tcW w:w="563"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836" w:type="dxa"/>
            <w:tcBorders/>
          </w:tcPr>
          <w:p>
            <w:pPr>
              <w:pStyle w:val="Normal"/>
              <w:spacing w:lineRule="auto" w:line="240" w:before="0" w:after="0"/>
              <w:jc w:val="both"/>
              <w:rPr>
                <w:rFonts w:ascii="Arial" w:hAnsi="Arial" w:eastAsia="Times New Roman" w:cs="Arial"/>
                <w:b/>
                <w:b/>
                <w:bCs/>
                <w:color w:val="000000"/>
                <w:sz w:val="24"/>
                <w:szCs w:val="24"/>
                <w:lang w:eastAsia="es-CL"/>
              </w:rPr>
            </w:pPr>
            <w:r>
              <w:rPr>
                <w:rFonts w:cs="Arial" w:ascii="Arial" w:hAnsi="Arial"/>
                <w:sz w:val="24"/>
                <w:szCs w:val="24"/>
                <w:lang w:eastAsia="es-CL"/>
              </w:rPr>
              <w:t>Se evidencia que la planificación subsidiaria del Capitán de Puerto, no considera los objetivos establecidos por la Gobernación Marítima de Aysén y sólo detalla tareas y funciones diseñadas y asignadas a niveles locales y orientados al ámbito marítimo.</w:t>
            </w:r>
          </w:p>
        </w:tc>
        <w:tc>
          <w:tcPr>
            <w:tcW w:w="2627" w:type="dxa"/>
            <w:tcBorders>
              <w:left w:val="nil"/>
            </w:tcBorders>
          </w:tcPr>
          <w:p>
            <w:pPr>
              <w:pStyle w:val="Normal"/>
              <w:spacing w:lineRule="auto" w:line="240" w:before="0" w:after="0"/>
              <w:jc w:val="both"/>
              <w:rPr>
                <w:rFonts w:ascii="Arial" w:hAnsi="Arial" w:cs="Arial"/>
                <w:sz w:val="24"/>
                <w:szCs w:val="24"/>
              </w:rPr>
            </w:pPr>
            <w:r>
              <w:rPr>
                <w:rFonts w:eastAsia="Times New Roman" w:cs="Arial" w:ascii="Arial" w:hAnsi="Arial"/>
                <w:sz w:val="24"/>
                <w:szCs w:val="24"/>
                <w:lang w:eastAsia="es-CL"/>
              </w:rPr>
              <w:t>Manual de organización y funcionamiento de Gobernaciones Marítimos y Capitanías de Puerto. Título 5, I.- JEFATURA, C.- Capitán de Puerto, art. 1001°, letra C.-.</w:t>
            </w:r>
          </w:p>
        </w:tc>
        <w:tc>
          <w:tcPr>
            <w:tcW w:w="2835" w:type="dxa"/>
            <w:tcBorders>
              <w:left w:val="nil"/>
            </w:tcBorders>
          </w:tcPr>
          <w:p>
            <w:pPr>
              <w:pStyle w:val="Normal"/>
              <w:spacing w:lineRule="auto" w:line="240" w:before="0" w:after="0"/>
              <w:jc w:val="both"/>
              <w:rPr>
                <w:rFonts w:ascii="Arial" w:hAnsi="Arial" w:cs="Arial"/>
                <w:b/>
                <w:b/>
                <w:sz w:val="24"/>
                <w:szCs w:val="24"/>
              </w:rPr>
            </w:pPr>
            <w:r>
              <w:rPr>
                <w:rFonts w:cs="Arial" w:ascii="Arial" w:hAnsi="Arial"/>
                <w:sz w:val="24"/>
                <w:szCs w:val="24"/>
              </w:rPr>
              <w:t>El Capitán de Puerto, debe desarrollar su planificación subsidiaria considerando los objetivos establecidos por el Gobernador Marítimo de Aysén, objeto mantener el alineamiento organizacional. Remitir el documento con la corrección correspondiente.</w:t>
            </w:r>
          </w:p>
        </w:tc>
        <w:tc>
          <w:tcPr>
            <w:tcW w:w="4112" w:type="dxa"/>
            <w:tcBorders>
              <w:left w:val="nil"/>
            </w:tcBorders>
          </w:tcPr>
          <w:p>
            <w:pPr>
              <w:pStyle w:val="Normal"/>
              <w:spacing w:lineRule="auto" w:line="240" w:before="0" w:after="0"/>
              <w:jc w:val="both"/>
              <w:rPr>
                <w:rFonts w:ascii="Arial" w:hAnsi="Arial" w:cs="Arial"/>
                <w:color w:val="FF0000"/>
                <w:sz w:val="24"/>
                <w:szCs w:val="24"/>
                <w:lang w:val="es-MX"/>
              </w:rPr>
            </w:pPr>
            <w:r>
              <w:rPr>
                <w:rFonts w:cs="Arial" w:ascii="Arial" w:hAnsi="Arial"/>
                <w:sz w:val="24"/>
                <w:szCs w:val="24"/>
                <w:lang w:val="es-MX"/>
              </w:rPr>
              <w:t>Se  incorpora al Plan Subsidiario C. P. CIS. N° 3.195/282/2021, de fecha 15 de marzo de 2021 los anexos “E” y “F” con metas mensuales Patrullajes Terrestres, Marítimos y Fiscalizaciones Ámbito CC.MM. e Inspecciones de Naves, objeto  dar cumplimiento al  T.M.O.</w:t>
            </w:r>
            <w:r>
              <w:rPr>
                <w:rFonts w:cs="Arial" w:ascii="Arial" w:hAnsi="Arial"/>
                <w:color w:val="FF0000"/>
                <w:sz w:val="24"/>
                <w:szCs w:val="24"/>
                <w:lang w:val="es-MX"/>
              </w:rPr>
              <w:t xml:space="preserve"> </w:t>
            </w:r>
          </w:p>
          <w:p>
            <w:pPr>
              <w:pStyle w:val="Normal"/>
              <w:spacing w:lineRule="auto" w:line="240" w:before="0" w:after="0"/>
              <w:jc w:val="both"/>
              <w:rPr>
                <w:rFonts w:ascii="Arial" w:hAnsi="Arial" w:cs="Arial"/>
                <w:color w:val="FF0000"/>
                <w:sz w:val="24"/>
                <w:szCs w:val="24"/>
                <w:lang w:val="es-MX"/>
              </w:rPr>
            </w:pPr>
            <w:r>
              <w:rPr>
                <w:rFonts w:cs="Arial" w:ascii="Arial" w:hAnsi="Arial"/>
                <w:color w:val="FF0000"/>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envía copia al correo electrónico </w:t>
            </w:r>
            <w:hyperlink r:id="rId2">
              <w:r>
                <w:rPr>
                  <w:rStyle w:val="EnlacedeInternet"/>
                  <w:rFonts w:cs="Arial" w:ascii="Arial" w:hAnsi="Arial"/>
                  <w:sz w:val="24"/>
                  <w:szCs w:val="24"/>
                  <w:lang w:val="es-MX"/>
                </w:rPr>
                <w:t>jcacerese@dgtm.cl</w:t>
              </w:r>
            </w:hyperlink>
            <w:r>
              <w:rPr>
                <w:rFonts w:cs="Arial" w:ascii="Arial" w:hAnsi="Arial"/>
                <w:sz w:val="24"/>
                <w:szCs w:val="24"/>
                <w:lang w:val="es-MX"/>
              </w:rPr>
              <w:t>.</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adjunta en el anexo “E”,  copias de los anexos “E” y “F” del citado Plan.</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tc>
        <w:tc>
          <w:tcPr>
            <w:tcW w:w="2694" w:type="dxa"/>
            <w:tcBorders>
              <w:left w:val="nil"/>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63" w:type="dxa"/>
            <w:tcBorders>
              <w:left w:val="nil"/>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702" w:type="dxa"/>
        <w:jc w:val="center"/>
        <w:tblInd w:w="0" w:type="dxa"/>
        <w:tblCellMar>
          <w:top w:w="0" w:type="dxa"/>
          <w:left w:w="108" w:type="dxa"/>
          <w:bottom w:w="0" w:type="dxa"/>
          <w:right w:w="108" w:type="dxa"/>
        </w:tblCellMar>
        <w:tblLook w:firstRow="1" w:noVBand="1" w:lastRow="0" w:firstColumn="1" w:lastColumn="0" w:noHBand="0" w:val="04a0"/>
      </w:tblPr>
      <w:tblGrid>
        <w:gridCol w:w="626"/>
        <w:gridCol w:w="2700"/>
        <w:gridCol w:w="2628"/>
        <w:gridCol w:w="2835"/>
        <w:gridCol w:w="4110"/>
        <w:gridCol w:w="2694"/>
        <w:gridCol w:w="2108"/>
      </w:tblGrid>
      <w:tr>
        <w:trPr>
          <w:tblHeader w:val="true"/>
        </w:trPr>
        <w:tc>
          <w:tcPr>
            <w:tcW w:w="62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0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2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593" w:type="dxa"/>
            <w:gridSpan w:val="6"/>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2.- SUBJEFATURA.</w:t>
            </w:r>
          </w:p>
        </w:tc>
        <w:tc>
          <w:tcPr>
            <w:tcW w:w="2108" w:type="dxa"/>
            <w:tcBorders/>
          </w:tcPr>
          <w:p>
            <w:pPr>
              <w:pStyle w:val="Normal"/>
              <w:spacing w:lineRule="auto" w:line="240" w:before="0" w:after="0"/>
              <w:rPr>
                <w:rFonts w:ascii="Arial" w:hAnsi="Arial" w:eastAsia="Times New Roman" w:cs="Arial"/>
                <w:b/>
                <w:b/>
                <w:bCs/>
                <w:sz w:val="16"/>
                <w:szCs w:val="16"/>
                <w:lang w:eastAsia="es-CL"/>
              </w:rPr>
            </w:pPr>
            <w:r>
              <w:rPr>
                <w:rFonts w:eastAsia="Times New Roman" w:cs="Arial" w:ascii="Arial" w:hAnsi="Arial"/>
                <w:b/>
                <w:bCs/>
                <w:sz w:val="16"/>
                <w:szCs w:val="16"/>
                <w:lang w:eastAsia="es-CL"/>
              </w:rPr>
            </w:r>
          </w:p>
        </w:tc>
      </w:tr>
      <w:tr>
        <w:trPr>
          <w:tblHeader w:val="true"/>
        </w:trPr>
        <w:tc>
          <w:tcPr>
            <w:tcW w:w="626"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70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evidencia que solo existe Libro de Experiencias, en los ámbitos de Experiencias Policiales y SAR, no existiendo Libro de Experiencias de Combate a la Contaminación y de Alteraciones al Orden Público. Tampoco se han efectuado ejercicios de Contaminación en la jurisdicción a pesar de existir un número importante de naves que recalan y zarpan periódicamente en la bahía.</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tc>
        <w:tc>
          <w:tcPr>
            <w:tcW w:w="2628" w:type="dxa"/>
            <w:tcBorders/>
          </w:tcPr>
          <w:p>
            <w:pPr>
              <w:pStyle w:val="Normal"/>
              <w:spacing w:lineRule="auto" w:line="240" w:before="0" w:after="0"/>
              <w:jc w:val="both"/>
              <w:rPr>
                <w:rFonts w:ascii="Arial" w:hAnsi="Arial" w:cs="Arial"/>
                <w:b/>
                <w:b/>
                <w:sz w:val="24"/>
                <w:szCs w:val="24"/>
                <w:lang w:val="es-MX"/>
              </w:rPr>
            </w:pPr>
            <w:r>
              <w:rPr>
                <w:rFonts w:cs="Arial" w:ascii="Arial" w:hAnsi="Arial"/>
                <w:sz w:val="24"/>
                <w:szCs w:val="24"/>
              </w:rPr>
              <w:t>Reglamento de Inspecciones de la Armada N° 3-20/8, Anexo “5”, Apéndice 6.</w:t>
            </w:r>
          </w:p>
        </w:tc>
        <w:tc>
          <w:tcPr>
            <w:tcW w:w="2835" w:type="dxa"/>
            <w:tcBorders/>
          </w:tcPr>
          <w:p>
            <w:pPr>
              <w:pStyle w:val="Prrafodelista1"/>
              <w:numPr>
                <w:ilvl w:val="0"/>
                <w:numId w:val="1"/>
              </w:numPr>
              <w:suppressAutoHyphens w:val="false"/>
              <w:spacing w:lineRule="auto" w:line="240" w:before="0" w:after="0"/>
              <w:ind w:left="458" w:hanging="458"/>
              <w:contextualSpacing/>
              <w:jc w:val="both"/>
              <w:rPr>
                <w:rFonts w:ascii="Arial" w:hAnsi="Arial" w:cs="Arial"/>
                <w:sz w:val="24"/>
                <w:szCs w:val="24"/>
              </w:rPr>
            </w:pPr>
            <w:r>
              <w:rPr>
                <w:rFonts w:cs="Arial" w:ascii="Arial" w:hAnsi="Arial"/>
                <w:sz w:val="24"/>
                <w:szCs w:val="24"/>
              </w:rPr>
              <w:t xml:space="preserve">Abrir Libro de Experiencias en las áreas de Combate a la Contaminación y Alteraciones al Orden Público. </w:t>
            </w:r>
          </w:p>
          <w:p>
            <w:pPr>
              <w:pStyle w:val="Prrafodelista1"/>
              <w:numPr>
                <w:ilvl w:val="0"/>
                <w:numId w:val="1"/>
              </w:numPr>
              <w:suppressAutoHyphens w:val="false"/>
              <w:spacing w:lineRule="auto" w:line="240" w:before="0" w:after="0"/>
              <w:ind w:left="458" w:hanging="458"/>
              <w:contextualSpacing/>
              <w:jc w:val="both"/>
              <w:rPr>
                <w:rFonts w:ascii="Arial" w:hAnsi="Arial" w:cs="Arial"/>
                <w:b/>
                <w:b/>
                <w:sz w:val="24"/>
                <w:szCs w:val="24"/>
              </w:rPr>
            </w:pPr>
            <w:r>
              <w:rPr>
                <w:rFonts w:cs="Arial" w:ascii="Arial" w:hAnsi="Arial"/>
                <w:sz w:val="24"/>
                <w:szCs w:val="24"/>
              </w:rPr>
              <w:t>En el ámbito de combate a la contaminación se deberá llevar a cabo un ejercicio de entrenamiento que permita visualizar el conocimiento del personal respecto a estos temas y las carencias o necesidades de material que permitan enfrentar de una mejor forma una situación real. Remitiendo la programación correspondiente.</w:t>
            </w:r>
          </w:p>
        </w:tc>
        <w:tc>
          <w:tcPr>
            <w:tcW w:w="4110" w:type="dxa"/>
            <w:tcBorders/>
          </w:tcPr>
          <w:p>
            <w:pPr>
              <w:pStyle w:val="ListParagraph"/>
              <w:numPr>
                <w:ilvl w:val="0"/>
                <w:numId w:val="2"/>
              </w:numPr>
              <w:spacing w:lineRule="auto" w:line="240" w:before="0" w:after="0"/>
              <w:ind w:left="318" w:hanging="318"/>
              <w:contextualSpacing/>
              <w:jc w:val="both"/>
              <w:rPr>
                <w:rFonts w:ascii="Arial" w:hAnsi="Arial" w:cs="Arial"/>
                <w:b/>
                <w:b/>
                <w:sz w:val="24"/>
                <w:szCs w:val="24"/>
                <w:lang w:val="es-MX"/>
              </w:rPr>
            </w:pPr>
            <w:r>
              <w:rPr>
                <w:rFonts w:cs="Arial" w:ascii="Arial" w:hAnsi="Arial"/>
                <w:sz w:val="24"/>
                <w:szCs w:val="24"/>
                <w:lang w:val="es-MX"/>
              </w:rPr>
              <w:t>Con fecha 22 de junio de 2021, se creó libro de Experiencia de combate a la Contaminación y Orden Público. Según C. P. CIS N° 12600/136, de fecha 19 de febrero de 2021, se establece fecha para ejercicio de respuesta a la  contaminación en terminal Emporcha, de fecha 10 de Noviembre de 2021</w:t>
            </w:r>
            <w:r>
              <w:rPr>
                <w:rFonts w:cs="Arial" w:ascii="Arial" w:hAnsi="Arial"/>
                <w:b/>
                <w:sz w:val="24"/>
                <w:szCs w:val="24"/>
                <w:lang w:val="es-MX"/>
              </w:rPr>
              <w:t>.</w:t>
            </w:r>
          </w:p>
          <w:p>
            <w:pPr>
              <w:pStyle w:val="ListParagraph"/>
              <w:numPr>
                <w:ilvl w:val="0"/>
                <w:numId w:val="2"/>
              </w:numPr>
              <w:spacing w:lineRule="auto" w:line="240" w:before="0" w:after="0"/>
              <w:ind w:left="318" w:hanging="318"/>
              <w:contextualSpacing/>
              <w:jc w:val="both"/>
              <w:rPr>
                <w:rFonts w:ascii="Arial" w:hAnsi="Arial" w:cs="Arial"/>
                <w:sz w:val="24"/>
                <w:szCs w:val="24"/>
                <w:lang w:val="es-MX"/>
              </w:rPr>
            </w:pPr>
            <w:r>
              <w:rPr>
                <w:rFonts w:cs="Arial" w:ascii="Arial" w:hAnsi="Arial"/>
                <w:sz w:val="24"/>
                <w:szCs w:val="24"/>
                <w:lang w:val="es-MX"/>
              </w:rPr>
              <w:t xml:space="preserve">Depto. Medio Ambiente, mediante Ordop. C.P. CIS. N° 12600/136/21, de fecha 19 de febrero de 2021, “Establece ejercicio de contaminación del Centro Local de respuesta ante derrames de Hidrocarburos u otras sustancias nocivas”, el cual indica fecha para realizar  ejercicio de Combate a la Contaminación, en la Bahía de Puerto Cisnes. </w:t>
            </w:r>
          </w:p>
          <w:p>
            <w:pPr>
              <w:pStyle w:val="ListParagraph"/>
              <w:numPr>
                <w:ilvl w:val="0"/>
                <w:numId w:val="2"/>
              </w:numPr>
              <w:spacing w:lineRule="auto" w:line="240" w:before="0" w:after="0"/>
              <w:ind w:left="318" w:hanging="318"/>
              <w:contextualSpacing/>
              <w:jc w:val="both"/>
              <w:rPr>
                <w:rFonts w:ascii="Arial" w:hAnsi="Arial" w:cs="Arial"/>
                <w:sz w:val="24"/>
                <w:szCs w:val="24"/>
                <w:lang w:val="es-MX"/>
              </w:rPr>
            </w:pPr>
            <w:r>
              <w:rPr>
                <w:rFonts w:cs="Arial" w:ascii="Arial" w:hAnsi="Arial"/>
                <w:sz w:val="24"/>
                <w:szCs w:val="24"/>
                <w:lang w:val="es-MX"/>
              </w:rPr>
              <w:t xml:space="preserve">Se envía copia al correo electrónico </w:t>
            </w:r>
            <w:hyperlink r:id="rId3">
              <w:r>
                <w:rPr>
                  <w:rStyle w:val="EnlacedeInternet"/>
                  <w:rFonts w:cs="Arial" w:ascii="Arial" w:hAnsi="Arial"/>
                  <w:sz w:val="24"/>
                  <w:szCs w:val="24"/>
                  <w:lang w:val="es-MX"/>
                </w:rPr>
                <w:t>jcacerese@dgtm.cl</w:t>
              </w:r>
            </w:hyperlink>
            <w:r>
              <w:rPr>
                <w:rFonts w:cs="Arial" w:ascii="Arial" w:hAnsi="Arial"/>
                <w:sz w:val="24"/>
                <w:szCs w:val="24"/>
                <w:lang w:val="es-MX"/>
              </w:rPr>
              <w:t>.</w:t>
            </w:r>
          </w:p>
          <w:p>
            <w:pPr>
              <w:pStyle w:val="ListParagraph"/>
              <w:numPr>
                <w:ilvl w:val="0"/>
                <w:numId w:val="2"/>
              </w:numPr>
              <w:spacing w:lineRule="auto" w:line="240" w:before="0" w:after="0"/>
              <w:ind w:left="318" w:hanging="318"/>
              <w:contextualSpacing/>
              <w:jc w:val="both"/>
              <w:rPr>
                <w:rFonts w:ascii="Arial" w:hAnsi="Arial" w:cs="Arial"/>
                <w:b/>
                <w:b/>
                <w:sz w:val="24"/>
                <w:szCs w:val="24"/>
                <w:lang w:val="es-MX"/>
              </w:rPr>
            </w:pPr>
            <w:r>
              <w:rPr>
                <w:rFonts w:cs="Arial" w:ascii="Arial" w:hAnsi="Arial"/>
                <w:sz w:val="24"/>
                <w:szCs w:val="24"/>
                <w:lang w:val="es-MX"/>
              </w:rPr>
              <w:t>Se adjunta en el anexo “E” citada Orden de Operación.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0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695"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710"/>
        <w:gridCol w:w="2693"/>
        <w:gridCol w:w="2834"/>
        <w:gridCol w:w="4111"/>
        <w:gridCol w:w="2693"/>
        <w:gridCol w:w="2047"/>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4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647" w:type="dxa"/>
            <w:gridSpan w:val="6"/>
            <w:tcBorders/>
            <w:vAlign w:val="center"/>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p>
            <w:pPr>
              <w:pStyle w:val="Normal"/>
              <w:spacing w:lineRule="auto" w:line="240" w:before="0" w:after="0"/>
              <w:jc w:val="both"/>
              <w:rPr>
                <w:rFonts w:ascii="Arial" w:hAnsi="Arial" w:cs="Arial"/>
                <w:b/>
                <w:b/>
                <w:sz w:val="16"/>
                <w:szCs w:val="16"/>
                <w:highlight w:val="yellow"/>
                <w:lang w:val="es-MX"/>
              </w:rPr>
            </w:pPr>
            <w:r>
              <w:rPr>
                <w:rFonts w:eastAsia="Times New Roman" w:cs="Arial" w:ascii="Arial" w:hAnsi="Arial"/>
                <w:b/>
                <w:bCs/>
                <w:sz w:val="24"/>
                <w:szCs w:val="24"/>
                <w:lang w:eastAsia="es-CL"/>
              </w:rPr>
              <w:t>3.- JEFATURA DEPTO. SEGURIDAD Y OPERACIONES MARÍTIMAS.</w:t>
            </w:r>
          </w:p>
        </w:tc>
        <w:tc>
          <w:tcPr>
            <w:tcW w:w="2047" w:type="dxa"/>
            <w:tcBorders/>
          </w:tcPr>
          <w:p>
            <w:pPr>
              <w:pStyle w:val="Normal"/>
              <w:spacing w:lineRule="auto" w:line="240" w:before="0" w:after="0"/>
              <w:jc w:val="both"/>
              <w:rPr>
                <w:rFonts w:ascii="Arial" w:hAnsi="Arial" w:cs="Arial"/>
                <w:b/>
                <w:b/>
                <w:sz w:val="16"/>
                <w:szCs w:val="16"/>
                <w:highlight w:val="yellow"/>
                <w:lang w:val="es-MX"/>
              </w:rPr>
            </w:pPr>
            <w:r>
              <w:rPr>
                <w:rFonts w:cs="Arial" w:ascii="Arial" w:hAnsi="Arial"/>
                <w:b/>
                <w:sz w:val="16"/>
                <w:szCs w:val="16"/>
                <w:highlight w:val="yellow"/>
                <w:lang w:val="es-MX"/>
              </w:rPr>
            </w:r>
          </w:p>
        </w:tc>
      </w:tr>
      <w:tr>
        <w:trPr>
          <w:tblHeader w:val="true"/>
        </w:trPr>
        <w:tc>
          <w:tcPr>
            <w:tcW w:w="606"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p>
            <w:pPr>
              <w:pStyle w:val="Normal"/>
              <w:spacing w:lineRule="auto" w:line="240" w:before="0" w:after="0"/>
              <w:jc w:val="center"/>
              <w:rPr>
                <w:rFonts w:ascii="Arial" w:hAnsi="Arial" w:cs="Arial"/>
                <w:sz w:val="24"/>
                <w:szCs w:val="24"/>
                <w:highlight w:val="yellow"/>
                <w:lang w:val="es-MX"/>
              </w:rPr>
            </w:pPr>
            <w:r>
              <w:rPr>
                <w:rFonts w:cs="Arial" w:ascii="Arial" w:hAnsi="Arial"/>
                <w:sz w:val="24"/>
                <w:szCs w:val="24"/>
                <w:highlight w:val="yellow"/>
                <w:lang w:val="es-MX"/>
              </w:rPr>
            </w:r>
          </w:p>
        </w:tc>
        <w:tc>
          <w:tcPr>
            <w:tcW w:w="2710" w:type="dxa"/>
            <w:tcBorders/>
          </w:tcPr>
          <w:p>
            <w:pPr>
              <w:pStyle w:val="Normal"/>
              <w:spacing w:lineRule="auto" w:line="240" w:before="0" w:after="0"/>
              <w:ind w:left="35" w:hanging="0"/>
              <w:jc w:val="both"/>
              <w:rPr>
                <w:rFonts w:ascii="Arial" w:hAnsi="Arial" w:cs="Arial"/>
                <w:b/>
                <w:b/>
                <w:sz w:val="24"/>
                <w:szCs w:val="24"/>
              </w:rPr>
            </w:pPr>
            <w:r>
              <w:rPr>
                <w:rFonts w:eastAsia="Times New Roman" w:cs="Arial" w:ascii="Arial" w:hAnsi="Arial"/>
                <w:bCs/>
                <w:sz w:val="24"/>
                <w:szCs w:val="24"/>
                <w:lang w:eastAsia="es-CL"/>
              </w:rPr>
              <w:t xml:space="preserve">Se  evidenció que el Jefe del Departamento de Seguridad y Operaciones Marítimas ejerce además funciones como Artillero de Cargo, con dependencia del Departamento Logístico y Servicios siendo incluso, más antiguo que el jefe del citado departamento. </w:t>
            </w:r>
          </w:p>
          <w:p>
            <w:pPr>
              <w:pStyle w:val="Normal"/>
              <w:spacing w:lineRule="auto" w:line="240" w:before="0" w:after="0"/>
              <w:ind w:left="35" w:hanging="0"/>
              <w:jc w:val="both"/>
              <w:rPr>
                <w:b/>
                <w:b/>
              </w:rPr>
            </w:pPr>
            <w:r>
              <w:rPr>
                <w:b/>
              </w:rPr>
            </w:r>
          </w:p>
        </w:tc>
        <w:tc>
          <w:tcPr>
            <w:tcW w:w="2693" w:type="dxa"/>
            <w:tcBorders/>
          </w:tcPr>
          <w:p>
            <w:pPr>
              <w:pStyle w:val="Prrafodelista1"/>
              <w:spacing w:lineRule="auto" w:line="240" w:before="0" w:after="0"/>
              <w:ind w:left="36" w:hanging="0"/>
              <w:jc w:val="both"/>
              <w:rPr>
                <w:rFonts w:ascii="Arial" w:hAnsi="Arial" w:cs="Arial"/>
                <w:sz w:val="24"/>
                <w:szCs w:val="24"/>
                <w:lang w:val="es-MX"/>
              </w:rPr>
            </w:pPr>
            <w:r>
              <w:rPr>
                <w:rFonts w:cs="Arial" w:ascii="Arial" w:hAnsi="Arial"/>
                <w:sz w:val="24"/>
                <w:szCs w:val="24"/>
                <w:lang w:val="es-MX"/>
              </w:rPr>
              <w:t xml:space="preserve">Resol. N° 6560/1 Vrs, de fecha 26 de enero de 2011, Manual de Organización y Funcionamiento de las Gobernaciones Marítimas y Capitanías de Puerto. </w:t>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2834" w:type="dxa"/>
            <w:tcBorders/>
          </w:tcPr>
          <w:p>
            <w:pPr>
              <w:pStyle w:val="Prrafodelista1"/>
              <w:numPr>
                <w:ilvl w:val="0"/>
                <w:numId w:val="3"/>
              </w:numPr>
              <w:suppressAutoHyphens w:val="false"/>
              <w:spacing w:lineRule="auto" w:line="240" w:before="0" w:after="0"/>
              <w:ind w:left="458" w:hanging="426"/>
              <w:contextualSpacing/>
              <w:jc w:val="both"/>
              <w:rPr>
                <w:rFonts w:ascii="Arial" w:hAnsi="Arial" w:cs="Arial"/>
                <w:sz w:val="24"/>
                <w:szCs w:val="24"/>
                <w:lang w:val="es-MX"/>
              </w:rPr>
            </w:pPr>
            <w:r>
              <w:rPr>
                <w:rFonts w:cs="Arial" w:ascii="Arial" w:hAnsi="Arial"/>
                <w:sz w:val="24"/>
                <w:szCs w:val="24"/>
                <w:lang w:val="es-MX"/>
              </w:rPr>
              <w:t>Dar cumplimiento al Manual de Organización y Funcionamiento de las  Gobernaciones Marítimas y Capitanías de Puerto asignando al personal de dotación para cumplir funciones en un solo Departamento.</w:t>
            </w:r>
          </w:p>
          <w:p>
            <w:pPr>
              <w:pStyle w:val="Prrafodelista1"/>
              <w:numPr>
                <w:ilvl w:val="0"/>
                <w:numId w:val="3"/>
              </w:numPr>
              <w:suppressAutoHyphens w:val="false"/>
              <w:spacing w:lineRule="auto" w:line="240" w:before="0" w:after="0"/>
              <w:ind w:left="458" w:hanging="426"/>
              <w:contextualSpacing/>
              <w:jc w:val="both"/>
              <w:rPr/>
            </w:pPr>
            <w:r>
              <w:rPr>
                <w:rFonts w:cs="Arial" w:ascii="Arial" w:hAnsi="Arial"/>
                <w:sz w:val="24"/>
                <w:szCs w:val="24"/>
                <w:lang w:val="es-MX"/>
              </w:rPr>
              <w:t xml:space="preserve">Informar número y fecha de nueva Resolución de asignación de cargos que considere al personal de dotación con funciones en un solo departamento. </w:t>
            </w:r>
          </w:p>
        </w:tc>
        <w:tc>
          <w:tcPr>
            <w:tcW w:w="4111" w:type="dxa"/>
            <w:tcBorders/>
          </w:tcPr>
          <w:p>
            <w:pPr>
              <w:pStyle w:val="Normal"/>
              <w:spacing w:lineRule="auto" w:line="240" w:before="0" w:after="0"/>
              <w:jc w:val="both"/>
              <w:rPr>
                <w:rFonts w:ascii="Arial" w:hAnsi="Arial" w:cs="Arial"/>
                <w:b/>
                <w:b/>
                <w:sz w:val="24"/>
                <w:szCs w:val="24"/>
              </w:rPr>
            </w:pPr>
            <w:r>
              <w:rPr>
                <w:rFonts w:cs="Arial" w:ascii="Arial" w:hAnsi="Arial"/>
                <w:sz w:val="24"/>
                <w:szCs w:val="24"/>
              </w:rPr>
              <w:t xml:space="preserve">Se efectuó cambio en la resolución de cargos C.P. CIS. Res. N° 6030/571, de fecha 23 de junio de 2021, asignando al C1 L. </w:t>
            </w:r>
            <w:r>
              <w:rPr>
                <w:rFonts w:cs="Arial" w:ascii="Arial" w:hAnsi="Arial"/>
                <w:sz w:val="24"/>
                <w:szCs w:val="24"/>
                <w:lang w:val="es-MX"/>
              </w:rPr>
              <w:t>(Mc.Ci.)</w:t>
            </w:r>
            <w:r>
              <w:rPr>
                <w:rFonts w:cs="Arial" w:ascii="Arial" w:hAnsi="Arial"/>
                <w:sz w:val="24"/>
                <w:szCs w:val="24"/>
              </w:rPr>
              <w:t xml:space="preserve"> J. </w:t>
            </w:r>
            <w:r>
              <w:rPr>
                <w:rFonts w:cs="Arial" w:ascii="Arial" w:hAnsi="Arial"/>
                <w:sz w:val="24"/>
                <w:szCs w:val="24"/>
                <w:lang w:val="es-MX"/>
              </w:rPr>
              <w:t>AGUILERA N.,</w:t>
            </w:r>
            <w:r>
              <w:rPr>
                <w:rFonts w:cs="Arial" w:ascii="Arial" w:hAnsi="Arial"/>
                <w:sz w:val="24"/>
                <w:szCs w:val="24"/>
              </w:rPr>
              <w:t xml:space="preserve"> como </w:t>
            </w:r>
            <w:r>
              <w:rPr>
                <w:rFonts w:cs="Arial" w:ascii="Arial" w:hAnsi="Arial"/>
                <w:sz w:val="24"/>
                <w:szCs w:val="24"/>
                <w:lang w:val="es-MX"/>
              </w:rPr>
              <w:t xml:space="preserve">Encargado de la </w:t>
            </w:r>
            <w:r>
              <w:rPr>
                <w:rFonts w:cs="Arial" w:ascii="Arial" w:hAnsi="Arial"/>
                <w:bCs/>
                <w:sz w:val="24"/>
                <w:szCs w:val="24"/>
              </w:rPr>
              <w:t xml:space="preserve">Div. </w:t>
            </w:r>
            <w:r>
              <w:rPr>
                <w:rFonts w:cs="Arial" w:ascii="Arial" w:hAnsi="Arial"/>
                <w:bCs/>
                <w:sz w:val="24"/>
                <w:szCs w:val="24"/>
                <w:lang w:val="es-MX"/>
              </w:rPr>
              <w:t xml:space="preserve">de </w:t>
            </w:r>
            <w:r>
              <w:rPr>
                <w:rFonts w:cs="Arial" w:ascii="Arial" w:hAnsi="Arial"/>
                <w:bCs/>
                <w:sz w:val="24"/>
                <w:szCs w:val="24"/>
              </w:rPr>
              <w:t>Ingeniería y Armamento</w:t>
            </w:r>
            <w:r>
              <w:rPr>
                <w:rFonts w:cs="Arial" w:ascii="Arial" w:hAnsi="Arial"/>
                <w:bCs/>
                <w:sz w:val="24"/>
                <w:szCs w:val="24"/>
                <w:lang w:val="es-MX"/>
              </w:rPr>
              <w:t xml:space="preserve"> de la </w:t>
            </w:r>
            <w:r>
              <w:rPr>
                <w:rFonts w:cs="Arial" w:ascii="Arial" w:hAnsi="Arial"/>
                <w:bCs/>
                <w:sz w:val="24"/>
                <w:szCs w:val="24"/>
              </w:rPr>
              <w:t>Repartición.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sz w:val="24"/>
                <w:szCs w:val="24"/>
                <w:highlight w:val="yellow"/>
                <w:lang w:val="es-MX"/>
              </w:rPr>
            </w:pPr>
            <w:r>
              <w:rPr>
                <w:rFonts w:cs="Arial" w:ascii="Arial" w:hAnsi="Arial"/>
                <w:sz w:val="24"/>
                <w:szCs w:val="24"/>
                <w:lang w:val="es-MX"/>
              </w:rPr>
              <w:t>Se mantiene misma observación S1 (ART. Seg. M.) Aldo MUÑOZ Contreras sigue en 2 departamentos</w:t>
            </w:r>
          </w:p>
        </w:tc>
        <w:tc>
          <w:tcPr>
            <w:tcW w:w="2047" w:type="dxa"/>
            <w:tcBorders/>
          </w:tcPr>
          <w:p>
            <w:pPr>
              <w:pStyle w:val="Normal"/>
              <w:spacing w:lineRule="auto" w:line="240" w:before="0" w:after="0"/>
              <w:jc w:val="both"/>
              <w:rPr>
                <w:rFonts w:ascii="Arial" w:hAnsi="Arial" w:cs="Arial"/>
                <w:bCs/>
                <w:sz w:val="24"/>
                <w:szCs w:val="24"/>
              </w:rPr>
            </w:pPr>
            <w:r>
              <w:rPr>
                <w:rFonts w:cs="Arial" w:ascii="Arial" w:hAnsi="Arial"/>
                <w:sz w:val="24"/>
                <w:szCs w:val="24"/>
              </w:rPr>
              <w:t xml:space="preserve">Se efectuó cambio en la Resolución de Cargos C.P. CIS. Res. N° 6030/571, de fecha 23 de junio de 2021, asignando al S1° (Art.Seg.M.) A. Muñoz C. la Jefatura del Departamento de Seguridad y Operaciones Marítimas y al C1 L. </w:t>
            </w:r>
            <w:r>
              <w:rPr>
                <w:rFonts w:cs="Arial" w:ascii="Arial" w:hAnsi="Arial"/>
                <w:sz w:val="24"/>
                <w:szCs w:val="24"/>
                <w:lang w:val="es-MX"/>
              </w:rPr>
              <w:t xml:space="preserve">(Mc.Ci.) </w:t>
            </w:r>
            <w:r>
              <w:rPr>
                <w:rFonts w:cs="Arial" w:ascii="Arial" w:hAnsi="Arial"/>
                <w:sz w:val="24"/>
                <w:szCs w:val="24"/>
              </w:rPr>
              <w:t xml:space="preserve"> J. </w:t>
            </w:r>
            <w:r>
              <w:rPr>
                <w:rFonts w:cs="Arial" w:ascii="Arial" w:hAnsi="Arial"/>
                <w:sz w:val="24"/>
                <w:szCs w:val="24"/>
                <w:lang w:val="es-MX"/>
              </w:rPr>
              <w:t>Aguilera N.,</w:t>
            </w:r>
            <w:r>
              <w:rPr>
                <w:rFonts w:cs="Arial" w:ascii="Arial" w:hAnsi="Arial"/>
                <w:sz w:val="24"/>
                <w:szCs w:val="24"/>
              </w:rPr>
              <w:t xml:space="preserve"> la Jefatura del</w:t>
            </w:r>
            <w:r>
              <w:rPr>
                <w:rFonts w:cs="Arial" w:ascii="Arial" w:hAnsi="Arial"/>
                <w:sz w:val="24"/>
                <w:szCs w:val="24"/>
                <w:lang w:val="es-MX"/>
              </w:rPr>
              <w:t xml:space="preserve"> Departamento Logístico y Servicios</w:t>
            </w:r>
            <w:r>
              <w:rPr>
                <w:rFonts w:cs="Arial" w:ascii="Arial" w:hAnsi="Arial"/>
                <w:bCs/>
                <w:sz w:val="24"/>
                <w:szCs w:val="24"/>
              </w:rPr>
              <w:t xml:space="preserve">. </w:t>
            </w:r>
          </w:p>
          <w:p>
            <w:pPr>
              <w:pStyle w:val="Normal"/>
              <w:spacing w:lineRule="auto" w:line="240" w:before="0" w:after="0"/>
              <w:jc w:val="both"/>
              <w:rPr>
                <w:rFonts w:ascii="Arial" w:hAnsi="Arial" w:cs="Arial"/>
                <w:b/>
                <w:b/>
                <w:sz w:val="24"/>
                <w:szCs w:val="24"/>
              </w:rPr>
            </w:pPr>
            <w:r>
              <w:rPr>
                <w:rFonts w:cs="Arial" w:ascii="Arial" w:hAnsi="Arial"/>
                <w:bCs/>
                <w:sz w:val="24"/>
                <w:szCs w:val="24"/>
              </w:rPr>
              <w:t>Se adjunta en Anexo “E” citada Resolución de Cargos.</w:t>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695"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710"/>
        <w:gridCol w:w="2693"/>
        <w:gridCol w:w="2834"/>
        <w:gridCol w:w="4111"/>
        <w:gridCol w:w="2693"/>
        <w:gridCol w:w="2047"/>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4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2733"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71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el patrón de la LPM-4409 asignada a la Capitanía de Puerto, cubre puestos de guardia en la repartición.</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93" w:type="dxa"/>
            <w:tcBorders/>
          </w:tcPr>
          <w:p>
            <w:pPr>
              <w:pStyle w:val="Cuerpodetextoconsangra"/>
              <w:numPr>
                <w:ilvl w:val="0"/>
                <w:numId w:val="0"/>
              </w:numPr>
              <w:ind w:left="35" w:right="-244" w:hanging="0"/>
              <w:outlineLvl w:val="0"/>
              <w:rPr/>
            </w:pPr>
            <w:r>
              <w:rPr/>
              <w:t>Directiva Ordinaria P-03/001, punto II, letra D.-.</w:t>
            </w:r>
          </w:p>
          <w:p>
            <w:pPr>
              <w:pStyle w:val="Normal"/>
              <w:spacing w:lineRule="auto" w:line="240" w:before="0" w:after="0"/>
              <w:jc w:val="both"/>
              <w:rPr>
                <w:rFonts w:ascii="Arial" w:hAnsi="Arial" w:cs="Arial"/>
                <w:sz w:val="24"/>
                <w:szCs w:val="24"/>
              </w:rPr>
            </w:pPr>
            <w:r>
              <w:rPr>
                <w:rFonts w:cs="Arial" w:ascii="Arial" w:hAnsi="Arial"/>
                <w:sz w:val="24"/>
                <w:szCs w:val="24"/>
              </w:rPr>
            </w:r>
          </w:p>
        </w:tc>
        <w:tc>
          <w:tcPr>
            <w:tcW w:w="2834" w:type="dxa"/>
            <w:tcBorders/>
          </w:tcPr>
          <w:p>
            <w:pPr>
              <w:pStyle w:val="Prrafodelista1"/>
              <w:spacing w:lineRule="auto" w:line="240" w:before="0" w:after="0"/>
              <w:ind w:left="34" w:hanging="0"/>
              <w:jc w:val="both"/>
              <w:rPr>
                <w:rFonts w:ascii="Arial" w:hAnsi="Arial" w:cs="Arial"/>
                <w:sz w:val="24"/>
                <w:szCs w:val="24"/>
              </w:rPr>
            </w:pPr>
            <w:r>
              <w:rPr>
                <w:rFonts w:cs="Arial" w:ascii="Arial" w:hAnsi="Arial"/>
                <w:sz w:val="24"/>
                <w:szCs w:val="24"/>
                <w:lang w:val="es-MX"/>
              </w:rPr>
              <w:t>Dar cumplimiento a  instrucciones impartidas por la Dirección General del Territorio Marítimo y de Marina Mercante respecto de las funciones exclusivas del personal de dotación de las lanchas LPM Arcángel.</w:t>
            </w:r>
          </w:p>
        </w:tc>
        <w:tc>
          <w:tcPr>
            <w:tcW w:w="4111" w:type="dxa"/>
            <w:tcBorders/>
          </w:tcPr>
          <w:p>
            <w:pPr>
              <w:pStyle w:val="Normal"/>
              <w:spacing w:lineRule="auto" w:line="240" w:before="0" w:after="0"/>
              <w:jc w:val="both"/>
              <w:rPr>
                <w:rFonts w:ascii="Arial" w:hAnsi="Arial" w:cs="Arial"/>
                <w:sz w:val="24"/>
                <w:szCs w:val="24"/>
              </w:rPr>
            </w:pPr>
            <w:r>
              <w:rPr>
                <w:rFonts w:cs="Arial" w:ascii="Arial" w:hAnsi="Arial"/>
                <w:sz w:val="24"/>
                <w:szCs w:val="24"/>
              </w:rPr>
              <w:t>Mediante MSG MARITGOBAYS 301728 ABR 2021, de dotación de la LPM-4409 no cubre guardia en CAPUERTOCIS, quedando de dedicación exclusiva Unidad dependiente.</w:t>
            </w:r>
          </w:p>
        </w:tc>
        <w:tc>
          <w:tcPr>
            <w:tcW w:w="2693"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val="es-MX"/>
              </w:rPr>
              <w:t>SUPERADA</w:t>
            </w:r>
          </w:p>
        </w:tc>
        <w:tc>
          <w:tcPr>
            <w:tcW w:w="204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Height w:val="3131"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71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val="es-MX" w:eastAsia="es-CL"/>
              </w:rPr>
              <w:t>S</w:t>
            </w:r>
            <w:r>
              <w:rPr>
                <w:rFonts w:cs="Arial" w:ascii="Arial" w:hAnsi="Arial"/>
                <w:sz w:val="24"/>
                <w:szCs w:val="24"/>
                <w:lang w:eastAsia="es-CL"/>
              </w:rPr>
              <w:t>e evidenció que a pesar de contar con una O.P.I., que regula las funciones del encargado administrativo del departamento, este no se encuentra oficialmente designado.</w:t>
            </w:r>
          </w:p>
        </w:tc>
        <w:tc>
          <w:tcPr>
            <w:tcW w:w="2693" w:type="dxa"/>
            <w:tcBorders/>
          </w:tcPr>
          <w:p>
            <w:pPr>
              <w:pStyle w:val="Prrafodelista1"/>
              <w:numPr>
                <w:ilvl w:val="0"/>
                <w:numId w:val="4"/>
              </w:numPr>
              <w:suppressAutoHyphens w:val="false"/>
              <w:spacing w:lineRule="auto" w:line="240" w:before="0" w:after="0"/>
              <w:ind w:left="462" w:hanging="425"/>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p>
            <w:pPr>
              <w:pStyle w:val="Prrafodelista1"/>
              <w:numPr>
                <w:ilvl w:val="0"/>
                <w:numId w:val="4"/>
              </w:numPr>
              <w:suppressAutoHyphens w:val="false"/>
              <w:spacing w:lineRule="auto" w:line="240" w:before="0" w:after="0"/>
              <w:ind w:left="462" w:hanging="425"/>
              <w:contextualSpacing/>
              <w:jc w:val="both"/>
              <w:rPr>
                <w:rFonts w:ascii="Arial" w:hAnsi="Arial" w:cs="Arial"/>
                <w:sz w:val="24"/>
                <w:szCs w:val="24"/>
                <w:lang w:val="es-MX"/>
              </w:rPr>
            </w:pPr>
            <w:r>
              <w:rPr>
                <w:rFonts w:cs="Arial" w:ascii="Arial" w:hAnsi="Arial"/>
                <w:sz w:val="24"/>
                <w:szCs w:val="24"/>
                <w:lang w:val="es-MX"/>
              </w:rPr>
              <w:t>Formulario Revista de Inspección Depto. de Seguridad y Operaciones Marítimas, Jefatura del Departamento, letra C.-.</w:t>
            </w:r>
          </w:p>
        </w:tc>
        <w:tc>
          <w:tcPr>
            <w:tcW w:w="2834" w:type="dxa"/>
            <w:tcBorders/>
          </w:tcPr>
          <w:p>
            <w:pPr>
              <w:pStyle w:val="Normal"/>
              <w:spacing w:lineRule="auto" w:line="240" w:before="0" w:after="0"/>
              <w:ind w:left="34" w:hanging="34"/>
              <w:jc w:val="both"/>
              <w:rPr>
                <w:rFonts w:ascii="Arial" w:hAnsi="Arial" w:cs="Arial"/>
                <w:sz w:val="24"/>
                <w:szCs w:val="24"/>
              </w:rPr>
            </w:pPr>
            <w:r>
              <w:rPr>
                <w:rFonts w:cs="Arial" w:ascii="Arial" w:hAnsi="Arial"/>
                <w:sz w:val="24"/>
                <w:szCs w:val="24"/>
              </w:rPr>
              <w:t>Informar número y fecha de                                                                                                                                                                                        Resolución que designa encargado administrativo del Departamento de Operaciones.</w:t>
            </w:r>
          </w:p>
        </w:tc>
        <w:tc>
          <w:tcPr>
            <w:tcW w:w="4111" w:type="dxa"/>
            <w:tcBorders/>
          </w:tcPr>
          <w:p>
            <w:pPr>
              <w:pStyle w:val="Normal"/>
              <w:spacing w:lineRule="auto" w:line="240" w:before="0" w:after="0"/>
              <w:jc w:val="both"/>
              <w:rPr>
                <w:rFonts w:ascii="Arial" w:hAnsi="Arial" w:cs="Arial"/>
                <w:sz w:val="24"/>
                <w:szCs w:val="24"/>
              </w:rPr>
            </w:pPr>
            <w:r>
              <w:rPr>
                <w:rFonts w:cs="Arial" w:ascii="Arial" w:hAnsi="Arial"/>
                <w:sz w:val="24"/>
                <w:szCs w:val="24"/>
              </w:rPr>
              <w:t>Se designa al Encargado  Administrativo del Depto. de Seguridad y Operaciones Marítimas de esta Capitanía de Puerto. Mediante resolución C.P. CIS. N° 2.460/593, de fecha 1 de julio de 2021.</w:t>
            </w:r>
          </w:p>
        </w:tc>
        <w:tc>
          <w:tcPr>
            <w:tcW w:w="2693"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eastAsia="es-CL"/>
              </w:rPr>
              <w:t>SUPERADA</w:t>
            </w:r>
          </w:p>
        </w:tc>
        <w:tc>
          <w:tcPr>
            <w:tcW w:w="2047"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78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751"/>
        <w:gridCol w:w="2694"/>
        <w:gridCol w:w="2834"/>
        <w:gridCol w:w="4112"/>
        <w:gridCol w:w="2692"/>
        <w:gridCol w:w="209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5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2"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9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2601" w:hRule="atLeast"/>
        </w:trPr>
        <w:tc>
          <w:tcPr>
            <w:tcW w:w="60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d)</w:t>
            </w:r>
          </w:p>
        </w:tc>
        <w:tc>
          <w:tcPr>
            <w:tcW w:w="2751" w:type="dxa"/>
            <w:tcBorders/>
          </w:tcPr>
          <w:p>
            <w:pPr>
              <w:pStyle w:val="Normal"/>
              <w:spacing w:lineRule="auto" w:line="240" w:before="0" w:after="0"/>
              <w:jc w:val="both"/>
              <w:rPr>
                <w:rFonts w:ascii="Arial" w:hAnsi="Arial" w:cs="Arial"/>
                <w:sz w:val="24"/>
                <w:szCs w:val="24"/>
                <w:lang w:val="es-MX" w:eastAsia="es-CL"/>
              </w:rPr>
            </w:pPr>
            <w:r>
              <w:rPr>
                <w:rFonts w:cs="Arial" w:ascii="Arial" w:hAnsi="Arial"/>
                <w:sz w:val="24"/>
                <w:szCs w:val="24"/>
                <w:lang w:val="es-MX" w:eastAsia="es-CL"/>
              </w:rPr>
              <w:t>Durante la inspección, el Departamento no contaba con el Plan de Mal Tiempo del superior.</w:t>
            </w:r>
          </w:p>
        </w:tc>
        <w:tc>
          <w:tcPr>
            <w:tcW w:w="2694" w:type="dxa"/>
            <w:tcBorders/>
          </w:tcPr>
          <w:p>
            <w:pPr>
              <w:pStyle w:val="Prrafodelista1"/>
              <w:spacing w:lineRule="auto" w:line="240" w:before="0" w:after="0"/>
              <w:ind w:left="35" w:hanging="0"/>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tc>
        <w:tc>
          <w:tcPr>
            <w:tcW w:w="2834" w:type="dxa"/>
            <w:tcBorders/>
          </w:tcPr>
          <w:p>
            <w:pPr>
              <w:pStyle w:val="Normal"/>
              <w:spacing w:lineRule="auto" w:line="240" w:before="0" w:after="0"/>
              <w:jc w:val="both"/>
              <w:rPr>
                <w:rFonts w:ascii="Arial" w:hAnsi="Arial" w:cs="Arial"/>
                <w:sz w:val="24"/>
                <w:szCs w:val="24"/>
              </w:rPr>
            </w:pPr>
            <w:r>
              <w:rPr>
                <w:rFonts w:cs="Arial" w:ascii="Arial" w:hAnsi="Arial"/>
                <w:sz w:val="24"/>
                <w:szCs w:val="24"/>
              </w:rPr>
              <w:t>Solicitar a la Gobernación       Marítima de Aysén copia del citado Plan y confeccionar el respectivo plan subsidiario.</w:t>
            </w:r>
          </w:p>
        </w:tc>
        <w:tc>
          <w:tcPr>
            <w:tcW w:w="4112" w:type="dxa"/>
            <w:tcBorders/>
          </w:tcPr>
          <w:p>
            <w:pPr>
              <w:pStyle w:val="Normal"/>
              <w:spacing w:lineRule="auto" w:line="240" w:before="0" w:after="0"/>
              <w:jc w:val="both"/>
              <w:rPr>
                <w:rFonts w:ascii="Arial" w:hAnsi="Arial" w:cs="Arial"/>
                <w:sz w:val="24"/>
                <w:szCs w:val="24"/>
              </w:rPr>
            </w:pPr>
            <w:r>
              <w:rPr>
                <w:rFonts w:cs="Arial" w:ascii="Arial" w:hAnsi="Arial"/>
                <w:sz w:val="24"/>
                <w:szCs w:val="24"/>
              </w:rPr>
              <w:t>Con fecha 29 de junio de 2021, se recepciona copia del Plan de Mal Tiempo superior G.M. AYSÉN Ord. N° 12.300/796, de fecha 29 de junio de 2017, cotejando información con el Plan Subsidiario Capitanía de Puerto de Puerto Cisnes, de fecha 25 de julio de 2017.</w:t>
            </w:r>
          </w:p>
        </w:tc>
        <w:tc>
          <w:tcPr>
            <w:tcW w:w="2692"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eastAsia="es-CL"/>
              </w:rPr>
              <w:t>SUPERADA</w:t>
            </w:r>
          </w:p>
        </w:tc>
        <w:tc>
          <w:tcPr>
            <w:tcW w:w="2091"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r>
        <w:trPr>
          <w:tblHeader w:val="true"/>
          <w:trHeight w:val="580" w:hRule="atLeast"/>
        </w:trPr>
        <w:tc>
          <w:tcPr>
            <w:tcW w:w="15691"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sz w:val="24"/>
                <w:szCs w:val="24"/>
                <w:lang w:eastAsia="es-CL"/>
              </w:rPr>
              <w:t xml:space="preserve">División </w:t>
            </w:r>
            <w:r>
              <w:rPr>
                <w:rFonts w:eastAsia="Times New Roman" w:cs="Arial" w:ascii="Arial" w:hAnsi="Arial"/>
                <w:b/>
                <w:bCs/>
                <w:color w:val="000000"/>
                <w:sz w:val="24"/>
                <w:szCs w:val="24"/>
                <w:lang w:eastAsia="es-CL"/>
              </w:rPr>
              <w:t>Medios a Flote de Patrullaje Marítimo</w:t>
            </w:r>
            <w:r>
              <w:rPr>
                <w:rFonts w:eastAsia="Times New Roman" w:cs="Arial" w:ascii="Arial" w:hAnsi="Arial"/>
                <w:b/>
                <w:bCs/>
                <w:sz w:val="24"/>
                <w:szCs w:val="24"/>
                <w:lang w:eastAsia="es-CL"/>
              </w:rPr>
              <w:t>.</w:t>
            </w:r>
          </w:p>
        </w:tc>
        <w:tc>
          <w:tcPr>
            <w:tcW w:w="2091"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751"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la planificación de la operación de la LPM-4409 es efectuada por el Patrón de la embarcación y no por el Capitán de Puerto a través del Departamento de Operaciones.</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94" w:type="dxa"/>
            <w:tcBorders/>
          </w:tcPr>
          <w:p>
            <w:pPr>
              <w:pStyle w:val="Normal"/>
              <w:spacing w:lineRule="auto" w:line="240" w:before="0" w:after="0"/>
              <w:jc w:val="both"/>
              <w:rPr>
                <w:rFonts w:ascii="Arial" w:hAnsi="Arial" w:cs="Arial"/>
                <w:sz w:val="24"/>
                <w:szCs w:val="24"/>
              </w:rPr>
            </w:pPr>
            <w:r>
              <w:rPr>
                <w:rFonts w:cs="Arial" w:ascii="Arial" w:hAnsi="Arial"/>
                <w:sz w:val="24"/>
                <w:szCs w:val="24"/>
              </w:rPr>
              <w:t>Resol. N° 6560/1, de fecha 26 de enero de 2011, Manual de Organización y Funcionamiento de Gobernaciones Marítimas y Capitanías de Puerto, arts. 1010° letra J.-, 1011° y 1014° letra A.-.</w:t>
            </w:r>
          </w:p>
        </w:tc>
        <w:tc>
          <w:tcPr>
            <w:tcW w:w="2834" w:type="dxa"/>
            <w:tcBorders/>
          </w:tcPr>
          <w:p>
            <w:pPr>
              <w:pStyle w:val="Prrafodelista1"/>
              <w:numPr>
                <w:ilvl w:val="0"/>
                <w:numId w:val="5"/>
              </w:numPr>
              <w:suppressAutoHyphens w:val="false"/>
              <w:spacing w:lineRule="auto" w:line="240" w:before="0" w:after="0"/>
              <w:ind w:left="459" w:hanging="426"/>
              <w:contextualSpacing/>
              <w:jc w:val="both"/>
              <w:rPr>
                <w:rFonts w:ascii="Arial" w:hAnsi="Arial" w:cs="Arial"/>
                <w:sz w:val="24"/>
                <w:szCs w:val="24"/>
              </w:rPr>
            </w:pPr>
            <w:r>
              <w:rPr>
                <w:rFonts w:cs="Arial" w:ascii="Arial" w:hAnsi="Arial"/>
                <w:sz w:val="24"/>
                <w:szCs w:val="24"/>
                <w:lang w:eastAsia="es-CL"/>
              </w:rPr>
              <w:t>El Departamento de Operaciones, a través de la División Medios a Flote de Patrullaje Marítimo, debe efectuar la planificación diaria, semanal, mensual y anual de operación de la embarcación asignada, de acuerdo a la realidad jurisdiccional y para el cumplimiento de las metas dispuestas para la Capitanía de Puerto.</w:t>
            </w:r>
          </w:p>
        </w:tc>
        <w:tc>
          <w:tcPr>
            <w:tcW w:w="4112" w:type="dxa"/>
            <w:tcBorders/>
          </w:tcPr>
          <w:p>
            <w:pPr>
              <w:pStyle w:val="ListParagraph"/>
              <w:numPr>
                <w:ilvl w:val="1"/>
                <w:numId w:val="6"/>
              </w:numPr>
              <w:suppressAutoHyphens w:val="true"/>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Se establece en O.P.I. N° 615/2021, de fecha 24 de junio de 2021.  “Los procedimientos a seguir respecto a la confección de la planificación de operación de la unidad marítima dependiente de la Capitanía de Puerto de Puerto Cisnes.</w:t>
            </w:r>
          </w:p>
          <w:p>
            <w:pPr>
              <w:pStyle w:val="ListParagraph"/>
              <w:numPr>
                <w:ilvl w:val="1"/>
                <w:numId w:val="6"/>
              </w:numPr>
              <w:suppressAutoHyphens w:val="true"/>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 xml:space="preserve">No existía un documento interno escrito, sin embargo se realizaban las coordinaciones de planificación en conjunto. </w:t>
            </w:r>
          </w:p>
        </w:tc>
        <w:tc>
          <w:tcPr>
            <w:tcW w:w="2692"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09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757"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740"/>
        <w:gridCol w:w="2692"/>
        <w:gridCol w:w="2835"/>
        <w:gridCol w:w="4111"/>
        <w:gridCol w:w="2694"/>
        <w:gridCol w:w="2077"/>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4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7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r>
          </w:p>
        </w:tc>
        <w:tc>
          <w:tcPr>
            <w:tcW w:w="274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2692" w:type="dxa"/>
            <w:tcBorders/>
          </w:tcPr>
          <w:p>
            <w:pPr>
              <w:pStyle w:val="ListParagraph"/>
              <w:spacing w:lineRule="auto" w:line="240" w:before="0" w:after="0"/>
              <w:ind w:left="459" w:hanging="0"/>
              <w:contextualSpacing/>
              <w:jc w:val="both"/>
              <w:rPr>
                <w:rFonts w:ascii="Arial" w:hAnsi="Arial" w:cs="Arial"/>
                <w:strike/>
                <w:sz w:val="24"/>
                <w:szCs w:val="24"/>
              </w:rPr>
            </w:pPr>
            <w:r>
              <w:rPr>
                <w:rFonts w:cs="Arial" w:ascii="Arial" w:hAnsi="Arial"/>
                <w:strike/>
                <w:sz w:val="24"/>
                <w:szCs w:val="24"/>
              </w:rPr>
            </w:r>
          </w:p>
        </w:tc>
        <w:tc>
          <w:tcPr>
            <w:tcW w:w="2835" w:type="dxa"/>
            <w:tcBorders/>
          </w:tcPr>
          <w:p>
            <w:pPr>
              <w:pStyle w:val="ListParagraph"/>
              <w:numPr>
                <w:ilvl w:val="0"/>
                <w:numId w:val="7"/>
              </w:numPr>
              <w:spacing w:lineRule="auto" w:line="240" w:before="0" w:after="0"/>
              <w:ind w:left="459" w:hanging="425"/>
              <w:contextualSpacing/>
              <w:jc w:val="both"/>
              <w:rPr>
                <w:rFonts w:ascii="Arial" w:hAnsi="Arial" w:cs="Arial"/>
                <w:sz w:val="24"/>
                <w:szCs w:val="24"/>
                <w:lang w:eastAsia="es-CL"/>
              </w:rPr>
            </w:pPr>
            <w:r>
              <w:rPr>
                <w:rFonts w:cs="Arial" w:ascii="Arial" w:hAnsi="Arial"/>
                <w:sz w:val="24"/>
                <w:szCs w:val="24"/>
                <w:lang w:eastAsia="es-CL"/>
              </w:rPr>
              <w:t xml:space="preserve">Informar motivos de la no participación del Departamento de Operaciones en la planificación de la unidad. </w:t>
            </w:r>
          </w:p>
        </w:tc>
        <w:tc>
          <w:tcPr>
            <w:tcW w:w="4111" w:type="dxa"/>
            <w:tcBorders/>
          </w:tcPr>
          <w:p>
            <w:pPr>
              <w:pStyle w:val="Cuerpodetexto"/>
              <w:spacing w:lineRule="auto" w:line="240" w:before="0" w:after="120"/>
              <w:jc w:val="both"/>
              <w:rPr>
                <w:rFonts w:ascii="Arial" w:hAnsi="Arial" w:cs="Arial"/>
                <w:b/>
                <w:b/>
                <w:sz w:val="24"/>
                <w:szCs w:val="24"/>
                <w:highlight w:val="yellow"/>
              </w:rPr>
            </w:pPr>
            <w:r>
              <w:rPr>
                <w:rFonts w:cs="Arial" w:ascii="Arial" w:hAnsi="Arial"/>
                <w:b/>
                <w:sz w:val="24"/>
                <w:szCs w:val="24"/>
                <w:highlight w:val="yellow"/>
              </w:rPr>
            </w:r>
          </w:p>
        </w:tc>
        <w:tc>
          <w:tcPr>
            <w:tcW w:w="2694"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highlight w:val="yellow"/>
                <w:lang w:val="es-MX"/>
              </w:rPr>
            </w:r>
          </w:p>
        </w:tc>
        <w:tc>
          <w:tcPr>
            <w:tcW w:w="2077"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highlight w:val="yellow"/>
                <w:lang w:val="es-MX"/>
              </w:rPr>
            </w:r>
          </w:p>
        </w:tc>
      </w:tr>
      <w:tr>
        <w:trPr>
          <w:tblHeader w:val="true"/>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74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no existe resolución del Capitán de Puerto designando a los patrones para operar el bote de goma asignado a la Capitanía de Puerto.</w:t>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2692" w:type="dxa"/>
            <w:tcBorders/>
          </w:tcPr>
          <w:p>
            <w:pPr>
              <w:pStyle w:val="Prrafodelista1"/>
              <w:numPr>
                <w:ilvl w:val="0"/>
                <w:numId w:val="8"/>
              </w:numPr>
              <w:suppressAutoHyphens w:val="false"/>
              <w:spacing w:lineRule="auto" w:line="240" w:before="0" w:after="0"/>
              <w:ind w:left="460" w:hanging="425"/>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Gobernaciones Marítimas y Capitanías de Puerto.</w:t>
            </w:r>
          </w:p>
          <w:p>
            <w:pPr>
              <w:pStyle w:val="Prrafodelista1"/>
              <w:numPr>
                <w:ilvl w:val="0"/>
                <w:numId w:val="8"/>
              </w:numPr>
              <w:suppressAutoHyphens w:val="false"/>
              <w:spacing w:lineRule="auto" w:line="240" w:before="0" w:after="0"/>
              <w:ind w:left="460" w:hanging="425"/>
              <w:contextualSpacing/>
              <w:jc w:val="both"/>
              <w:rPr>
                <w:rFonts w:ascii="Arial" w:hAnsi="Arial" w:cs="Arial"/>
                <w:b/>
                <w:b/>
                <w:sz w:val="24"/>
                <w:szCs w:val="24"/>
                <w:lang w:val="es-MX"/>
              </w:rPr>
            </w:pPr>
            <w:r>
              <w:rPr>
                <w:rFonts w:cs="Arial" w:ascii="Arial" w:hAnsi="Arial"/>
                <w:sz w:val="24"/>
                <w:szCs w:val="24"/>
                <w:lang w:val="es-MX"/>
              </w:rPr>
              <w:t>Formulario Revista de inspección Depto. de Seguridad y Operaciones Marítimas, Div. Medios a Flote punto II, letra A.-.</w:t>
            </w:r>
          </w:p>
        </w:tc>
        <w:tc>
          <w:tcPr>
            <w:tcW w:w="2835"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Confeccionar resolución designando a los patrones de bote de goma y que se encuentren calificados con la correspondiente C.P.O., remitiendo copia del acto administrativo interno correspondiente.</w:t>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4111"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confeccionó resolución C.P. CIS. Res. N° 2460/576/ Vrs.,  de fecha 24 de junio de 2021, designando a los patrones de bote de goma.</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envía copia al correo  </w:t>
            </w:r>
            <w:hyperlink r:id="rId4">
              <w:r>
                <w:rPr>
                  <w:rStyle w:val="EnlacedeInternet"/>
                  <w:rFonts w:cs="Arial" w:ascii="Arial" w:hAnsi="Arial"/>
                  <w:sz w:val="24"/>
                  <w:szCs w:val="24"/>
                  <w:lang w:val="es-MX"/>
                </w:rPr>
                <w:t>rgaratem@dgtm.cl</w:t>
              </w:r>
            </w:hyperlink>
            <w:r>
              <w:rPr>
                <w:rFonts w:cs="Arial" w:ascii="Arial" w:hAnsi="Arial"/>
                <w:sz w:val="24"/>
                <w:szCs w:val="24"/>
                <w:lang w:val="es-MX"/>
              </w:rPr>
              <w:t>.</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adjunta en anexo “E” Resolución descrita.</w:t>
            </w:r>
          </w:p>
        </w:tc>
        <w:tc>
          <w:tcPr>
            <w:tcW w:w="2694"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eastAsia="es-CL"/>
              </w:rPr>
              <w:t>SUPERADA</w:t>
            </w:r>
          </w:p>
        </w:tc>
        <w:tc>
          <w:tcPr>
            <w:tcW w:w="2077"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695"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710"/>
        <w:gridCol w:w="2693"/>
        <w:gridCol w:w="2834"/>
        <w:gridCol w:w="4111"/>
        <w:gridCol w:w="2693"/>
        <w:gridCol w:w="2047"/>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4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2733"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710"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en el reporte de patrullajes marítimos que entrega el T.M.O., existen diferencias  entre lo planificado con lo ejecutado por la LPM-4409, efectuándose una mayor cantidad de horas de operación que las planificadas para cada mes.</w:t>
            </w:r>
          </w:p>
          <w:p>
            <w:pPr>
              <w:pStyle w:val="Normal"/>
              <w:spacing w:lineRule="auto" w:line="240" w:before="0" w:after="0"/>
              <w:jc w:val="both"/>
              <w:rPr>
                <w:rFonts w:ascii="Arial" w:hAnsi="Arial" w:cs="Arial"/>
                <w:sz w:val="24"/>
                <w:szCs w:val="24"/>
                <w:highlight w:val="yellow"/>
                <w:lang w:eastAsia="es-CL"/>
              </w:rPr>
            </w:pPr>
            <w:r>
              <w:rPr>
                <w:rFonts w:cs="Arial" w:ascii="Arial" w:hAnsi="Arial"/>
                <w:sz w:val="24"/>
                <w:szCs w:val="24"/>
                <w:highlight w:val="yellow"/>
                <w:lang w:eastAsia="es-CL"/>
              </w:rPr>
            </w:r>
          </w:p>
        </w:tc>
        <w:tc>
          <w:tcPr>
            <w:tcW w:w="2693" w:type="dxa"/>
            <w:tcBorders/>
          </w:tcPr>
          <w:p>
            <w:pPr>
              <w:pStyle w:val="Prrafodelista1"/>
              <w:numPr>
                <w:ilvl w:val="0"/>
                <w:numId w:val="9"/>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p>
            <w:pPr>
              <w:pStyle w:val="Prrafodelista1"/>
              <w:numPr>
                <w:ilvl w:val="0"/>
                <w:numId w:val="9"/>
              </w:numPr>
              <w:suppressAutoHyphens w:val="false"/>
              <w:spacing w:lineRule="auto" w:line="259" w:before="0" w:after="0"/>
              <w:ind w:left="461" w:hanging="425"/>
              <w:contextualSpacing/>
              <w:jc w:val="both"/>
              <w:rPr>
                <w:rFonts w:ascii="Arial" w:hAnsi="Arial" w:cs="Arial"/>
                <w:sz w:val="24"/>
                <w:szCs w:val="24"/>
                <w:lang w:val="es-MX"/>
              </w:rPr>
            </w:pPr>
            <w:r>
              <w:rPr>
                <w:rFonts w:cs="Arial" w:ascii="Arial" w:hAnsi="Arial"/>
                <w:sz w:val="24"/>
                <w:szCs w:val="24"/>
                <w:lang w:val="es-MX"/>
              </w:rPr>
              <w:t>Formulario Revista de Inspección de Seguridad y Operaciones Marítimas, punto II, letras E.- y G.-.</w:t>
            </w:r>
          </w:p>
          <w:p>
            <w:pPr>
              <w:pStyle w:val="Prrafodelista1"/>
              <w:numPr>
                <w:ilvl w:val="0"/>
                <w:numId w:val="9"/>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 xml:space="preserve"> </w:t>
            </w:r>
            <w:r>
              <w:rPr>
                <w:rFonts w:cs="Arial" w:ascii="Arial" w:hAnsi="Arial"/>
                <w:sz w:val="24"/>
                <w:szCs w:val="24"/>
                <w:lang w:val="es-MX"/>
              </w:rPr>
              <w:t>Mensaje DIRECTEMAR 200740 OCT. 2020.</w:t>
            </w:r>
          </w:p>
        </w:tc>
        <w:tc>
          <w:tcPr>
            <w:tcW w:w="283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Oficiar al mando, planteando la situación respecto del combustible y la necesidad de replanificar las metas del T.M.O.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4111" w:type="dxa"/>
            <w:tcBorders/>
          </w:tcPr>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La diferencia entre los patrullajes planificados con los ejecutados en T.M.O. Es debido a la actual contingencia nacional por pandemia COVID-19, lo que significó un aumento de evacuaciones médicas,   además se realizaron fiscalizaciones por  contingencias de mortalidad masiva en centros de cultivos y  denuncias de pesca ilegal en A.M.C.P.</w:t>
            </w:r>
            <w:r>
              <w:rPr>
                <w:rFonts w:cs="Arial" w:ascii="Arial" w:hAnsi="Arial"/>
                <w:b/>
                <w:sz w:val="24"/>
                <w:szCs w:val="24"/>
                <w:lang w:val="es-MX"/>
              </w:rPr>
              <w:t xml:space="preserve"> </w:t>
            </w:r>
          </w:p>
        </w:tc>
        <w:tc>
          <w:tcPr>
            <w:tcW w:w="2693"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val="es-MX"/>
              </w:rPr>
              <w:t>SUPERADA</w:t>
            </w:r>
          </w:p>
        </w:tc>
        <w:tc>
          <w:tcPr>
            <w:tcW w:w="204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721" w:type="dxa"/>
        <w:jc w:val="center"/>
        <w:tblInd w:w="0" w:type="dxa"/>
        <w:tblCellMar>
          <w:top w:w="0" w:type="dxa"/>
          <w:left w:w="108" w:type="dxa"/>
          <w:bottom w:w="0" w:type="dxa"/>
          <w:right w:w="108" w:type="dxa"/>
        </w:tblCellMar>
        <w:tblLook w:firstRow="1" w:noVBand="1" w:lastRow="0" w:firstColumn="1" w:lastColumn="0" w:noHBand="0" w:val="04a0"/>
      </w:tblPr>
      <w:tblGrid>
        <w:gridCol w:w="568"/>
        <w:gridCol w:w="2694"/>
        <w:gridCol w:w="2692"/>
        <w:gridCol w:w="2835"/>
        <w:gridCol w:w="4111"/>
        <w:gridCol w:w="2694"/>
        <w:gridCol w:w="2126"/>
      </w:tblGrid>
      <w:tr>
        <w:trPr>
          <w:tblHeader w:val="true"/>
        </w:trPr>
        <w:tc>
          <w:tcPr>
            <w:tcW w:w="56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2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2733" w:hRule="atLeast"/>
        </w:trPr>
        <w:tc>
          <w:tcPr>
            <w:tcW w:w="56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d)</w:t>
            </w:r>
          </w:p>
        </w:tc>
        <w:tc>
          <w:tcPr>
            <w:tcW w:w="269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a la fecha de la inspección, la LPM- 4409 se encontraba con un avance en el consumo de combustible de un 76%. Lo anterior, debido a una disminución en su asignación lo que se estima repercutirá negativamente en la capacidad de fiscalización de las CC.MM. y centros de cultivo existentes en la jurisdicción y que solo puede ser realizada por vía marítima. (Cumplimiento del Plan Nacional de Fiscalización de Concesiones Marítimas y detección de ocupaciones ilegales).</w:t>
            </w:r>
          </w:p>
        </w:tc>
        <w:tc>
          <w:tcPr>
            <w:tcW w:w="2692" w:type="dxa"/>
            <w:tcBorders/>
          </w:tcPr>
          <w:p>
            <w:pPr>
              <w:pStyle w:val="Prrafodelista1"/>
              <w:numPr>
                <w:ilvl w:val="0"/>
                <w:numId w:val="10"/>
              </w:numPr>
              <w:suppressAutoHyphens w:val="false"/>
              <w:spacing w:lineRule="auto" w:line="240" w:before="0" w:after="0"/>
              <w:ind w:left="459" w:hanging="459"/>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p>
            <w:pPr>
              <w:pStyle w:val="Prrafodelista1"/>
              <w:numPr>
                <w:ilvl w:val="0"/>
                <w:numId w:val="10"/>
              </w:numPr>
              <w:suppressAutoHyphens w:val="false"/>
              <w:spacing w:lineRule="auto" w:line="240" w:before="0" w:after="0"/>
              <w:ind w:left="459" w:hanging="459"/>
              <w:contextualSpacing/>
              <w:jc w:val="both"/>
              <w:rPr>
                <w:rFonts w:ascii="Arial" w:hAnsi="Arial" w:cs="Arial"/>
                <w:sz w:val="24"/>
                <w:szCs w:val="24"/>
              </w:rPr>
            </w:pPr>
            <w:r>
              <w:rPr>
                <w:rFonts w:cs="Arial" w:ascii="Arial" w:hAnsi="Arial"/>
                <w:sz w:val="24"/>
                <w:szCs w:val="24"/>
                <w:lang w:val="es-MX"/>
              </w:rPr>
              <w:t>Formulario Revista de Inspección de Seguridad y Operaciones Marítimas, punto II, letra E.</w:t>
            </w:r>
          </w:p>
          <w:p>
            <w:pPr>
              <w:pStyle w:val="Prrafodelista1"/>
              <w:numPr>
                <w:ilvl w:val="0"/>
                <w:numId w:val="10"/>
              </w:numPr>
              <w:suppressAutoHyphens w:val="false"/>
              <w:spacing w:lineRule="auto" w:line="240" w:before="0" w:after="0"/>
              <w:ind w:left="459" w:hanging="459"/>
              <w:contextualSpacing/>
              <w:jc w:val="both"/>
              <w:rPr>
                <w:rFonts w:ascii="Arial" w:hAnsi="Arial" w:cs="Arial"/>
                <w:sz w:val="24"/>
                <w:szCs w:val="24"/>
              </w:rPr>
            </w:pPr>
            <w:r>
              <w:rPr>
                <w:rFonts w:cs="Arial" w:ascii="Arial" w:hAnsi="Arial"/>
                <w:sz w:val="24"/>
                <w:szCs w:val="24"/>
              </w:rPr>
              <w:t>Plan Nacional de Fiscalización de Concesiones Marítimas y detección de ocupación ilegal.</w:t>
            </w:r>
          </w:p>
        </w:tc>
        <w:tc>
          <w:tcPr>
            <w:tcW w:w="2835"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Oficiar al mando, planteando la situación de la falta de combustible y el efecto en las tareas de fiscalización principalmente de CC.MM. y de centros de cultivo.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4111"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Durante el año 2021 la asignación de DMFO anual fue 30 m3., por disposición del Mando se realizaron disminuciones a la asignación lo que reflejó que al momento de efectuada la revista de gestión hubiera un avance en el consumo de un 76%.</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Durante el mes de julio se aumentó la  asignación en 10 m3., quedando como asignación final de 25m3., a la fecha se han consumido 14.9 m3 lo que equivale actualmente a un consumo de un 60%. Permitiendo cumplir con metas mensuales y anuales planificadas para el año en curso.</w:t>
            </w:r>
          </w:p>
        </w:tc>
        <w:tc>
          <w:tcPr>
            <w:tcW w:w="2694"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val="es-MX"/>
              </w:rPr>
              <w:t>SUPERADA</w:t>
            </w:r>
          </w:p>
        </w:tc>
        <w:tc>
          <w:tcPr>
            <w:tcW w:w="2126"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78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751"/>
        <w:gridCol w:w="2694"/>
        <w:gridCol w:w="2834"/>
        <w:gridCol w:w="4112"/>
        <w:gridCol w:w="2692"/>
        <w:gridCol w:w="209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5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2"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09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2733" w:hRule="atLeast"/>
        </w:trPr>
        <w:tc>
          <w:tcPr>
            <w:tcW w:w="60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e)</w:t>
            </w:r>
          </w:p>
        </w:tc>
        <w:tc>
          <w:tcPr>
            <w:tcW w:w="2751"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la ficha logística de la LPM-4409 no se encuentra alineada con lo señalado en SALINO respecto a este tipo de embarcaciones.</w:t>
            </w:r>
          </w:p>
        </w:tc>
        <w:tc>
          <w:tcPr>
            <w:tcW w:w="2694" w:type="dxa"/>
            <w:tcBorders/>
          </w:tcPr>
          <w:p>
            <w:pPr>
              <w:pStyle w:val="Prrafodelista1"/>
              <w:numPr>
                <w:ilvl w:val="0"/>
                <w:numId w:val="11"/>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Resol. N° 6560/1, de fecha 26 de enero de 2011, Manual de Organización y Funcionamiento de las Gobernaciones Marítimas y Capitanías de Puerto.</w:t>
            </w:r>
          </w:p>
          <w:p>
            <w:pPr>
              <w:pStyle w:val="Prrafodelista1"/>
              <w:numPr>
                <w:ilvl w:val="0"/>
                <w:numId w:val="11"/>
              </w:numPr>
              <w:suppressAutoHyphens w:val="false"/>
              <w:spacing w:lineRule="auto" w:line="240" w:before="0" w:after="0"/>
              <w:ind w:left="461" w:hanging="425"/>
              <w:contextualSpacing/>
              <w:jc w:val="both"/>
              <w:rPr>
                <w:lang w:val="es-MX"/>
              </w:rPr>
            </w:pPr>
            <w:r>
              <w:rPr>
                <w:rFonts w:cs="Arial" w:ascii="Arial" w:hAnsi="Arial"/>
                <w:sz w:val="24"/>
                <w:szCs w:val="24"/>
                <w:lang w:val="es-MX"/>
              </w:rPr>
              <w:t>Formulario Revista de Inspección de Seguridad y Operaciones Marítimas, punto II, letra B.</w:t>
            </w:r>
          </w:p>
        </w:tc>
        <w:tc>
          <w:tcPr>
            <w:tcW w:w="2834"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val="es-MX" w:eastAsia="es-CL"/>
              </w:rPr>
              <w:t>Actualizar datos logísticos de la LPM-4409 de acuerdo a lo señalado en “ficha logística SALINO”, remitiendo la ficha correcta.</w:t>
            </w:r>
          </w:p>
        </w:tc>
        <w:tc>
          <w:tcPr>
            <w:tcW w:w="4112"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Con fecha 22 de mayo de 2021, se actualizaron los datos logísticos de la LPM-4409, de acuerdo a lo señalado en “Ficha Logística SALINO”.</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Se remite ficha logística al correo </w:t>
            </w:r>
            <w:hyperlink r:id="rId5">
              <w:r>
                <w:rPr>
                  <w:rStyle w:val="EnlacedeInternet"/>
                  <w:rFonts w:cs="Arial" w:ascii="Arial" w:hAnsi="Arial"/>
                  <w:sz w:val="24"/>
                  <w:szCs w:val="24"/>
                  <w:lang w:val="es-MX"/>
                </w:rPr>
                <w:t>rgaratem@dgtm.cl</w:t>
              </w:r>
            </w:hyperlink>
            <w:r>
              <w:rPr>
                <w:rFonts w:cs="Arial" w:ascii="Arial" w:hAnsi="Arial"/>
                <w:sz w:val="24"/>
                <w:szCs w:val="24"/>
                <w:lang w:val="es-MX"/>
              </w:rPr>
              <w:t>.</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Se adjunta en el anexo “E” Ficha Logística LPM-4409 y bote de goma.</w:t>
            </w:r>
          </w:p>
        </w:tc>
        <w:tc>
          <w:tcPr>
            <w:tcW w:w="2692" w:type="dxa"/>
            <w:tcBorders/>
            <w:vAlign w:val="center"/>
          </w:tcPr>
          <w:p>
            <w:pPr>
              <w:pStyle w:val="Normal"/>
              <w:spacing w:lineRule="auto" w:line="240" w:before="0" w:after="0"/>
              <w:jc w:val="center"/>
              <w:rPr>
                <w:rFonts w:ascii="Arial" w:hAnsi="Arial" w:cs="Arial"/>
                <w:b/>
                <w:b/>
                <w:sz w:val="24"/>
                <w:szCs w:val="24"/>
                <w:highlight w:val="yellow"/>
              </w:rPr>
            </w:pPr>
            <w:r>
              <w:rPr>
                <w:rFonts w:cs="Arial" w:ascii="Arial" w:hAnsi="Arial"/>
                <w:b/>
                <w:sz w:val="24"/>
                <w:szCs w:val="24"/>
                <w:lang w:val="es-MX"/>
              </w:rPr>
              <w:t>SUPERADA</w:t>
            </w:r>
          </w:p>
        </w:tc>
        <w:tc>
          <w:tcPr>
            <w:tcW w:w="209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872"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372"/>
        <w:gridCol w:w="3117"/>
        <w:gridCol w:w="2836"/>
        <w:gridCol w:w="4110"/>
        <w:gridCol w:w="2694"/>
        <w:gridCol w:w="2135"/>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37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11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15736"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color w:val="000000"/>
                <w:sz w:val="24"/>
                <w:szCs w:val="24"/>
                <w:lang w:eastAsia="es-CL"/>
              </w:rPr>
              <w:t>División Búsqueda y Salvamento</w:t>
            </w:r>
            <w:r>
              <w:rPr>
                <w:rFonts w:eastAsia="Times New Roman" w:cs="Arial" w:ascii="Arial" w:hAnsi="Arial"/>
                <w:b/>
                <w:bCs/>
                <w:sz w:val="24"/>
                <w:szCs w:val="24"/>
                <w:lang w:eastAsia="es-CL"/>
              </w:rPr>
              <w:t>.</w:t>
            </w:r>
          </w:p>
        </w:tc>
        <w:tc>
          <w:tcPr>
            <w:tcW w:w="2135"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607"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372" w:type="dxa"/>
            <w:tcBorders/>
          </w:tcPr>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val="es-MX" w:eastAsia="es-CL"/>
              </w:rPr>
              <w:t>Se evidenció f</w:t>
            </w:r>
            <w:r>
              <w:rPr>
                <w:rFonts w:eastAsia="Times New Roman" w:cs="Arial" w:ascii="Arial" w:hAnsi="Arial"/>
                <w:bCs/>
                <w:color w:val="000000"/>
                <w:sz w:val="24"/>
                <w:szCs w:val="24"/>
                <w:lang w:eastAsia="es-CL"/>
              </w:rPr>
              <w:t>alta de instrucción a los integrantes del departamento, sobre la organización y procedimientos empleados en la activación del Servicio de Búsqueda y Salvamento Marítimo como CAF.</w:t>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p>
            <w:pPr>
              <w:pStyle w:val="Normal"/>
              <w:spacing w:lineRule="auto" w:line="240" w:before="0" w:after="0"/>
              <w:jc w:val="both"/>
              <w:rPr>
                <w:rFonts w:ascii="Arial" w:hAnsi="Arial" w:eastAsia="Times New Roman" w:cs="Arial"/>
                <w:bCs/>
                <w:color w:val="000000"/>
                <w:sz w:val="24"/>
                <w:szCs w:val="24"/>
                <w:lang w:eastAsia="es-CL"/>
              </w:rPr>
            </w:pPr>
            <w:r>
              <w:rPr>
                <w:rFonts w:eastAsia="Times New Roman" w:cs="Arial" w:ascii="Arial" w:hAnsi="Arial"/>
                <w:bCs/>
                <w:color w:val="000000"/>
                <w:sz w:val="24"/>
                <w:szCs w:val="24"/>
                <w:lang w:eastAsia="es-CL"/>
              </w:rPr>
            </w:r>
          </w:p>
        </w:tc>
        <w:tc>
          <w:tcPr>
            <w:tcW w:w="3117" w:type="dxa"/>
            <w:tcBorders/>
          </w:tcPr>
          <w:p>
            <w:pPr>
              <w:pStyle w:val="Prrafodelista1"/>
              <w:numPr>
                <w:ilvl w:val="0"/>
                <w:numId w:val="12"/>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Directiva que establece organización y dispone tareas relacionadas con las operaciones de Búsqueda y Salvamento en el área marítima de responsabilidad nacional. C.J.A. Ord. N° 12600/287, de fecha 26 de febrero de 2021.</w:t>
            </w:r>
          </w:p>
          <w:p>
            <w:pPr>
              <w:pStyle w:val="Prrafodelista1"/>
              <w:numPr>
                <w:ilvl w:val="0"/>
                <w:numId w:val="12"/>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D.S. N° 1.190, de fecha 29 de diciembre de 1976, que organiza el Servicio de Búsqueda y Salvamento Marítimo dependiente de la Armada de Chile.</w:t>
            </w:r>
          </w:p>
          <w:p>
            <w:pPr>
              <w:pStyle w:val="Prrafodelista1"/>
              <w:numPr>
                <w:ilvl w:val="0"/>
                <w:numId w:val="12"/>
              </w:numPr>
              <w:suppressAutoHyphens w:val="false"/>
              <w:spacing w:lineRule="auto" w:line="240" w:before="0" w:after="0"/>
              <w:ind w:left="461" w:hanging="425"/>
              <w:contextualSpacing/>
              <w:jc w:val="both"/>
              <w:rPr>
                <w:rFonts w:ascii="Arial" w:hAnsi="Arial" w:cs="Arial"/>
                <w:sz w:val="24"/>
                <w:szCs w:val="24"/>
                <w:lang w:val="es-MX"/>
              </w:rPr>
            </w:pPr>
            <w:r>
              <w:rPr>
                <w:rFonts w:cs="Arial" w:ascii="Arial" w:hAnsi="Arial"/>
                <w:sz w:val="24"/>
                <w:szCs w:val="24"/>
                <w:lang w:val="es-MX"/>
              </w:rPr>
              <w:t>C.P.O, publicadas en Subsitios, Dirsomar, MRCC Chile de la Intranet Directemar.</w:t>
            </w:r>
          </w:p>
        </w:tc>
        <w:tc>
          <w:tcPr>
            <w:tcW w:w="2836" w:type="dxa"/>
            <w:tcBorders/>
          </w:tcPr>
          <w:p>
            <w:pPr>
              <w:pStyle w:val="Prrafodelista1"/>
              <w:numPr>
                <w:ilvl w:val="0"/>
                <w:numId w:val="13"/>
              </w:numPr>
              <w:suppressAutoHyphens w:val="false"/>
              <w:spacing w:lineRule="auto" w:line="240" w:before="0" w:after="0"/>
              <w:ind w:left="459" w:hanging="426"/>
              <w:contextualSpacing/>
              <w:jc w:val="both"/>
              <w:rPr>
                <w:rFonts w:ascii="Arial" w:hAnsi="Arial" w:cs="Arial"/>
                <w:sz w:val="24"/>
                <w:szCs w:val="24"/>
                <w:lang w:val="es-MX"/>
              </w:rPr>
            </w:pPr>
            <w:r>
              <w:rPr>
                <w:rFonts w:cs="Arial" w:ascii="Arial" w:hAnsi="Arial"/>
                <w:sz w:val="24"/>
                <w:szCs w:val="24"/>
                <w:lang w:val="es-MX"/>
              </w:rPr>
              <w:t>Solicitar a la Gobernación Marítima, que efectúe instrucción a todo el personal de dotación de la Capitanía de Puerto.</w:t>
            </w:r>
          </w:p>
          <w:p>
            <w:pPr>
              <w:pStyle w:val="Prrafodelista1"/>
              <w:numPr>
                <w:ilvl w:val="0"/>
                <w:numId w:val="13"/>
              </w:numPr>
              <w:suppressAutoHyphens w:val="false"/>
              <w:spacing w:lineRule="auto" w:line="240" w:before="0" w:after="0"/>
              <w:ind w:left="459" w:hanging="426"/>
              <w:contextualSpacing/>
              <w:jc w:val="both"/>
              <w:rPr>
                <w:rFonts w:ascii="Arial" w:hAnsi="Arial" w:cs="Arial"/>
                <w:sz w:val="24"/>
                <w:szCs w:val="24"/>
                <w:lang w:val="es-MX"/>
              </w:rPr>
            </w:pPr>
            <w:r>
              <w:rPr>
                <w:rFonts w:cs="Arial" w:ascii="Arial" w:hAnsi="Arial"/>
                <w:sz w:val="24"/>
                <w:szCs w:val="24"/>
              </w:rPr>
              <w:t>Efectuar instrucción al personal de dotación del Departamento de Operaciones y calificarlos de acuerdo a las C.P.O., publicadas en la intranet Directemar.</w:t>
            </w:r>
            <w:r>
              <w:rPr>
                <w:rFonts w:cs="Arial" w:ascii="Arial" w:hAnsi="Arial"/>
                <w:sz w:val="24"/>
                <w:szCs w:val="24"/>
                <w:lang w:val="es-MX"/>
              </w:rPr>
              <w:t xml:space="preserve"> </w:t>
            </w:r>
          </w:p>
          <w:p>
            <w:pPr>
              <w:pStyle w:val="Prrafodelista1"/>
              <w:numPr>
                <w:ilvl w:val="0"/>
                <w:numId w:val="13"/>
              </w:numPr>
              <w:suppressAutoHyphens w:val="false"/>
              <w:spacing w:lineRule="auto" w:line="240" w:before="0" w:after="0"/>
              <w:ind w:left="459" w:hanging="426"/>
              <w:contextualSpacing/>
              <w:jc w:val="both"/>
              <w:rPr>
                <w:rFonts w:ascii="Arial" w:hAnsi="Arial" w:cs="Arial"/>
                <w:sz w:val="24"/>
                <w:szCs w:val="24"/>
              </w:rPr>
            </w:pPr>
            <w:r>
              <w:rPr>
                <w:rFonts w:cs="Arial" w:ascii="Arial" w:hAnsi="Arial"/>
                <w:sz w:val="24"/>
                <w:szCs w:val="24"/>
                <w:lang w:val="es-MX"/>
              </w:rPr>
              <w:t>Informar fecha de la instrucción, cantidad de participantes y nombre instructor</w:t>
            </w:r>
            <w:r>
              <w:rPr>
                <w:rFonts w:cs="Arial" w:ascii="Arial" w:hAnsi="Arial"/>
                <w:b/>
                <w:sz w:val="24"/>
                <w:szCs w:val="24"/>
                <w:lang w:val="es-MX"/>
              </w:rPr>
              <w:t>.</w:t>
            </w:r>
          </w:p>
        </w:tc>
        <w:tc>
          <w:tcPr>
            <w:tcW w:w="4110" w:type="dxa"/>
            <w:tcBorders/>
          </w:tcPr>
          <w:p>
            <w:pPr>
              <w:pStyle w:val="Normal"/>
              <w:suppressAutoHyphens w:val="true"/>
              <w:spacing w:lineRule="auto" w:line="240" w:before="0" w:after="0"/>
              <w:jc w:val="both"/>
              <w:rPr>
                <w:rFonts w:ascii="Arial" w:hAnsi="Arial" w:cs="Arial"/>
                <w:sz w:val="24"/>
                <w:szCs w:val="24"/>
                <w:lang w:val="es-MX"/>
              </w:rPr>
            </w:pPr>
            <w:r>
              <w:rPr>
                <w:rFonts w:cs="Arial" w:ascii="Arial" w:hAnsi="Arial"/>
                <w:sz w:val="24"/>
                <w:szCs w:val="24"/>
                <w:lang w:val="es-MX"/>
              </w:rPr>
              <w:t>Mediante MSG CAPUERTOCIS 241415 JUN 2021, se solicitó apoyo a MARITGOBAYS para realizar instrucción de Búsqueda y Salvamento y activación CAF.</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b.- y c.- con fecha 5 y 6 de julio de 2021, se realizó  instrucción en dependencias MARITGOBAYS, al personal Depto. de Operaciones de esta Capitanía de Puerto.</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Personal participante: 03</w:t>
            </w:r>
          </w:p>
          <w:p>
            <w:pPr>
              <w:pStyle w:val="Normal"/>
              <w:spacing w:lineRule="auto" w:line="240" w:before="0" w:after="0"/>
              <w:jc w:val="both"/>
              <w:rPr>
                <w:rFonts w:ascii="Arial" w:hAnsi="Arial" w:cs="Arial"/>
                <w:sz w:val="24"/>
                <w:szCs w:val="24"/>
                <w:lang w:val="en-US"/>
              </w:rPr>
            </w:pPr>
            <w:r>
              <w:rPr>
                <w:rFonts w:cs="Arial" w:ascii="Arial" w:hAnsi="Arial"/>
                <w:sz w:val="24"/>
                <w:szCs w:val="24"/>
                <w:lang w:val="en-US"/>
              </w:rPr>
              <w:t>S1 (Art.Seg.M.)    A. MUÑOZ C.</w:t>
            </w:r>
          </w:p>
          <w:p>
            <w:pPr>
              <w:pStyle w:val="Normal"/>
              <w:spacing w:lineRule="auto" w:line="240" w:before="0" w:after="0"/>
              <w:jc w:val="both"/>
              <w:rPr>
                <w:rFonts w:ascii="Arial" w:hAnsi="Arial" w:cs="Arial"/>
                <w:sz w:val="24"/>
                <w:szCs w:val="24"/>
                <w:lang w:val="en-US"/>
              </w:rPr>
            </w:pPr>
            <w:r>
              <w:rPr>
                <w:rFonts w:cs="Arial" w:ascii="Arial" w:hAnsi="Arial"/>
                <w:sz w:val="24"/>
                <w:szCs w:val="24"/>
                <w:lang w:val="en-US"/>
              </w:rPr>
              <w:t>S2 L.                    M. VARGAS M.</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 xml:space="preserve">C2 L. (Com.)    F. VELÁSQUEZ V. </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Instrucción realizada por:</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Búsqueda y Salvamento</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S1 L. (Com.)     L. MONCADA M.</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C1 (Com.)        C. HUAIQUIL C.</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C1 (F.)              V. AZÓCAR V.</w:t>
            </w:r>
          </w:p>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C1 L. (RD.CIC.) D. RODRÍGUEZ R.</w:t>
            </w:r>
          </w:p>
        </w:tc>
        <w:tc>
          <w:tcPr>
            <w:tcW w:w="2694"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35"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tbl>
      <w:tblPr>
        <w:tblStyle w:val="Tablaconcuadrcula"/>
        <w:tblW w:w="1794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406"/>
        <w:gridCol w:w="3118"/>
        <w:gridCol w:w="2835"/>
        <w:gridCol w:w="4111"/>
        <w:gridCol w:w="2693"/>
        <w:gridCol w:w="217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0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7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15771"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color w:val="000000"/>
                <w:sz w:val="24"/>
                <w:szCs w:val="24"/>
                <w:lang w:eastAsia="es-CL"/>
              </w:rPr>
              <w:t>División Policía Marítima</w:t>
            </w:r>
            <w:r>
              <w:rPr>
                <w:rFonts w:eastAsia="Times New Roman" w:cs="Arial" w:ascii="Arial" w:hAnsi="Arial"/>
                <w:b/>
                <w:bCs/>
                <w:sz w:val="24"/>
                <w:szCs w:val="24"/>
                <w:lang w:eastAsia="es-CL"/>
              </w:rPr>
              <w:t>.</w:t>
            </w:r>
          </w:p>
        </w:tc>
        <w:tc>
          <w:tcPr>
            <w:tcW w:w="2171"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406"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que no existe un Plan Subsidiario de alistamiento para huelgas, movilización o incidentes en el puerto de acuerdo a la realidad de la Capitanía de Puerto.</w:t>
            </w:r>
          </w:p>
        </w:tc>
        <w:tc>
          <w:tcPr>
            <w:tcW w:w="3118" w:type="dxa"/>
            <w:tcBorders/>
          </w:tcPr>
          <w:p>
            <w:pPr>
              <w:pStyle w:val="Prrafodelista1"/>
              <w:numPr>
                <w:ilvl w:val="0"/>
                <w:numId w:val="14"/>
              </w:numPr>
              <w:suppressAutoHyphens w:val="false"/>
              <w:spacing w:lineRule="auto" w:line="240" w:before="0" w:after="0"/>
              <w:ind w:left="461" w:hanging="425"/>
              <w:contextualSpacing/>
              <w:jc w:val="both"/>
              <w:rPr>
                <w:rFonts w:ascii="Arial" w:hAnsi="Arial" w:cs="Arial"/>
                <w:sz w:val="24"/>
                <w:szCs w:val="24"/>
              </w:rPr>
            </w:pPr>
            <w:r>
              <w:rPr>
                <w:rFonts w:cs="Arial" w:ascii="Arial" w:hAnsi="Arial"/>
                <w:sz w:val="24"/>
                <w:szCs w:val="24"/>
              </w:rPr>
              <w:t>Resol. N° 6560/1, de fecha 26 de enero de 2011, Manual de Organización y Funcionamiento de las Gobernaciones Marítimas y Capitanías de Puerto.</w:t>
            </w:r>
          </w:p>
          <w:p>
            <w:pPr>
              <w:pStyle w:val="Prrafodelista1"/>
              <w:numPr>
                <w:ilvl w:val="0"/>
                <w:numId w:val="14"/>
              </w:numPr>
              <w:suppressAutoHyphens w:val="false"/>
              <w:spacing w:lineRule="auto" w:line="240" w:before="0" w:after="0"/>
              <w:ind w:left="461" w:hanging="425"/>
              <w:contextualSpacing/>
              <w:jc w:val="both"/>
              <w:rPr>
                <w:rFonts w:ascii="Arial" w:hAnsi="Arial" w:cs="Arial"/>
                <w:b/>
                <w:b/>
                <w:sz w:val="24"/>
                <w:szCs w:val="24"/>
                <w:lang w:val="es-MX"/>
              </w:rPr>
            </w:pPr>
            <w:r>
              <w:rPr>
                <w:rFonts w:cs="Arial" w:ascii="Arial" w:hAnsi="Arial"/>
                <w:sz w:val="24"/>
                <w:szCs w:val="24"/>
              </w:rPr>
              <w:t>Formulario Revista de inspección Depto. de Seguridad y Operaciones Marítimas, punto IV, letras F.- y G.-.</w:t>
            </w:r>
          </w:p>
        </w:tc>
        <w:tc>
          <w:tcPr>
            <w:tcW w:w="2835" w:type="dxa"/>
            <w:tcBorders/>
          </w:tcPr>
          <w:p>
            <w:pPr>
              <w:pStyle w:val="Normal"/>
              <w:spacing w:lineRule="auto" w:line="240" w:before="0" w:after="0"/>
              <w:jc w:val="both"/>
              <w:rPr>
                <w:rFonts w:ascii="Arial" w:hAnsi="Arial" w:cs="Arial"/>
                <w:b/>
                <w:b/>
                <w:sz w:val="24"/>
                <w:szCs w:val="24"/>
                <w:lang w:val="es-MX"/>
              </w:rPr>
            </w:pPr>
            <w:r>
              <w:rPr>
                <w:rFonts w:cs="Arial" w:ascii="Arial" w:hAnsi="Arial"/>
                <w:sz w:val="24"/>
                <w:szCs w:val="24"/>
                <w:lang w:eastAsia="es-CL"/>
              </w:rPr>
              <w:t>Confeccionar un Plan subsidiario de acuerdo a la realidad jurisdiccional considerando las acciones a ejecutar para el control del orden público en espera arribo sección antidisturbios jurisdiccional.</w:t>
            </w:r>
          </w:p>
        </w:tc>
        <w:tc>
          <w:tcPr>
            <w:tcW w:w="4111" w:type="dxa"/>
            <w:tcBorders/>
          </w:tcPr>
          <w:p>
            <w:pPr>
              <w:pStyle w:val="Normal"/>
              <w:spacing w:lineRule="auto" w:line="240" w:before="0" w:after="0"/>
              <w:ind w:left="37" w:hanging="37"/>
              <w:jc w:val="both"/>
              <w:rPr>
                <w:rFonts w:ascii="Arial" w:hAnsi="Arial" w:cs="Arial"/>
                <w:sz w:val="24"/>
                <w:szCs w:val="24"/>
                <w:lang w:val="es-MX"/>
              </w:rPr>
            </w:pPr>
            <w:r>
              <w:rPr>
                <w:rFonts w:cs="Arial" w:ascii="Arial" w:hAnsi="Arial"/>
                <w:sz w:val="24"/>
                <w:szCs w:val="24"/>
                <w:lang w:val="es-MX"/>
              </w:rPr>
              <w:t>Se confeccionó Plan Subsidiario de Huelga, movilizaciones o incidentes en instalaciones y/o recintos portuarios en la jurisdicción de la Capitanía de Puerto de Puerto Cisnes,  según  C.P. CIS. Res. N° 3.102, de fecha 1 de julio de 2021.</w:t>
            </w:r>
          </w:p>
        </w:tc>
        <w:tc>
          <w:tcPr>
            <w:tcW w:w="2693"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7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Height w:val="580" w:hRule="atLeast"/>
        </w:trPr>
        <w:tc>
          <w:tcPr>
            <w:tcW w:w="608"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406"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falta de conocimiento del personal del Departamento respecto de las acciones a seguir por la Capitanía de Puerto ante la probabilidad de ocurrencia de un Tsunami.</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3118" w:type="dxa"/>
            <w:tcBorders/>
          </w:tcPr>
          <w:p>
            <w:pPr>
              <w:pStyle w:val="Prrafodelista1"/>
              <w:numPr>
                <w:ilvl w:val="0"/>
                <w:numId w:val="15"/>
              </w:numPr>
              <w:suppressAutoHyphens w:val="false"/>
              <w:spacing w:lineRule="auto" w:line="240" w:before="0" w:after="0"/>
              <w:ind w:left="460" w:hanging="425"/>
              <w:contextualSpacing/>
              <w:jc w:val="both"/>
              <w:rPr>
                <w:rFonts w:ascii="Arial" w:hAnsi="Arial" w:cs="Arial"/>
                <w:sz w:val="24"/>
                <w:szCs w:val="24"/>
              </w:rPr>
            </w:pPr>
            <w:r>
              <w:rPr>
                <w:rFonts w:cs="Arial" w:ascii="Arial" w:hAnsi="Arial"/>
                <w:sz w:val="24"/>
                <w:szCs w:val="24"/>
              </w:rPr>
              <w:t>Plan Local ante Tsunami.</w:t>
            </w:r>
          </w:p>
          <w:p>
            <w:pPr>
              <w:pStyle w:val="Prrafodelista1"/>
              <w:numPr>
                <w:ilvl w:val="0"/>
                <w:numId w:val="15"/>
              </w:numPr>
              <w:suppressAutoHyphens w:val="false"/>
              <w:spacing w:lineRule="auto" w:line="240" w:before="0" w:after="0"/>
              <w:ind w:left="460" w:hanging="425"/>
              <w:contextualSpacing/>
              <w:jc w:val="both"/>
              <w:rPr>
                <w:rFonts w:ascii="Arial" w:hAnsi="Arial" w:cs="Arial"/>
                <w:sz w:val="24"/>
                <w:szCs w:val="24"/>
              </w:rPr>
            </w:pPr>
            <w:r>
              <w:rPr>
                <w:rFonts w:cs="Arial" w:ascii="Arial" w:hAnsi="Arial"/>
                <w:sz w:val="24"/>
                <w:szCs w:val="24"/>
              </w:rPr>
              <w:t>Directiva D.G.T.M. y M.M. L 02/003, respecto de la evacuación a zona de precaución en Estado de Precaución.</w:t>
            </w:r>
          </w:p>
        </w:tc>
        <w:tc>
          <w:tcPr>
            <w:tcW w:w="2835" w:type="dxa"/>
            <w:tcBorders/>
          </w:tcPr>
          <w:p>
            <w:pPr>
              <w:pStyle w:val="Normal"/>
              <w:spacing w:lineRule="auto" w:line="240" w:before="0" w:after="0"/>
              <w:jc w:val="both"/>
              <w:rPr>
                <w:rFonts w:ascii="Arial" w:hAnsi="Arial" w:cs="Arial"/>
                <w:sz w:val="24"/>
                <w:szCs w:val="24"/>
                <w:lang w:eastAsia="es-CL"/>
              </w:rPr>
            </w:pPr>
            <w:r>
              <w:rPr>
                <w:rFonts w:eastAsia="Times New Roman" w:cs="Arial" w:ascii="Arial" w:hAnsi="Arial"/>
                <w:sz w:val="24"/>
                <w:szCs w:val="24"/>
                <w:lang w:eastAsia="es-CL"/>
              </w:rPr>
              <w:t>Efectuar instrucción al personal de dotación de la Capitanía de Puerto, informando fecha de su realización, nombre del instructor y participantes.</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tc>
        <w:tc>
          <w:tcPr>
            <w:tcW w:w="4111" w:type="dxa"/>
            <w:tcBorders/>
            <w:vAlign w:val="center"/>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Con fecha 24 de junio de 2021, se efectuó instrucción del “Plan subsidiario ante Tsunami” a la  totalidad de la dotación de la Capitanía de Puerto de Puerto Cisnes, a excepción Sr. Capitán de Puerto y consideró la planificación y ejecución de las acciones a seguir por parte de la Capitanía de Puerto ante la probabilidad o aviso de la ocurrencia de un Tsunami en las costas de su responsabilidad C.P. CIS. Ord. N° 12235/286, de fecha 30 abril 2021, Instructor Subjefe.</w:t>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eastAsia="es-CL"/>
              </w:rPr>
              <w:t>SUPERADA</w:t>
            </w:r>
          </w:p>
        </w:tc>
        <w:tc>
          <w:tcPr>
            <w:tcW w:w="2171"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0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RESOLUCIÓN A LAS RESPUESTAS DEL ORGANISMO INSPECCIONADO</w:t>
            </w:r>
          </w:p>
        </w:tc>
        <w:tc>
          <w:tcPr>
            <w:tcW w:w="217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15771" w:type="dxa"/>
            <w:gridSpan w:val="6"/>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p>
            <w:pPr>
              <w:pStyle w:val="Normal"/>
              <w:spacing w:lineRule="auto" w:line="240" w:before="0" w:after="0"/>
              <w:rPr>
                <w:rFonts w:ascii="Arial" w:hAnsi="Arial" w:cs="Arial"/>
                <w:b/>
                <w:b/>
                <w:sz w:val="16"/>
                <w:szCs w:val="16"/>
                <w:highlight w:val="yellow"/>
                <w:lang w:val="es-MX"/>
              </w:rPr>
            </w:pPr>
            <w:r>
              <w:rPr>
                <w:rFonts w:eastAsia="Times New Roman" w:cs="Arial" w:ascii="Arial" w:hAnsi="Arial"/>
                <w:b/>
                <w:bCs/>
                <w:color w:val="000000"/>
                <w:sz w:val="24"/>
                <w:szCs w:val="24"/>
                <w:lang w:eastAsia="es-CL"/>
              </w:rPr>
              <w:t>División Control de Tráfico Marítimo</w:t>
            </w:r>
            <w:r>
              <w:rPr>
                <w:rFonts w:eastAsia="Times New Roman" w:cs="Arial" w:ascii="Arial" w:hAnsi="Arial"/>
                <w:b/>
                <w:bCs/>
                <w:sz w:val="24"/>
                <w:szCs w:val="24"/>
                <w:lang w:eastAsia="es-CL"/>
              </w:rPr>
              <w:t>.</w:t>
            </w:r>
          </w:p>
        </w:tc>
        <w:tc>
          <w:tcPr>
            <w:tcW w:w="2171" w:type="dxa"/>
            <w:tcBorders/>
          </w:tcPr>
          <w:p>
            <w:pPr>
              <w:pStyle w:val="Normal"/>
              <w:spacing w:lineRule="auto" w:line="240" w:before="0" w:after="0"/>
              <w:rPr>
                <w:rFonts w:ascii="Arial" w:hAnsi="Arial" w:eastAsia="Times New Roman" w:cs="Arial"/>
                <w:b/>
                <w:b/>
                <w:sz w:val="16"/>
                <w:szCs w:val="16"/>
                <w:lang w:eastAsia="es-CL"/>
              </w:rPr>
            </w:pPr>
            <w:r>
              <w:rPr>
                <w:rFonts w:eastAsia="Times New Roman" w:cs="Arial" w:ascii="Arial" w:hAnsi="Arial"/>
                <w:b/>
                <w:sz w:val="16"/>
                <w:szCs w:val="16"/>
                <w:lang w:eastAsia="es-CL"/>
              </w:rPr>
            </w:r>
          </w:p>
        </w:tc>
      </w:tr>
      <w:tr>
        <w:trPr>
          <w:tblHeader w:val="true"/>
          <w:trHeight w:val="580" w:hRule="atLeast"/>
        </w:trPr>
        <w:tc>
          <w:tcPr>
            <w:tcW w:w="608" w:type="dxa"/>
            <w:tcBorders/>
          </w:tcPr>
          <w:p>
            <w:pPr>
              <w:pStyle w:val="Normal"/>
              <w:spacing w:lineRule="auto" w:line="240" w:before="0" w:after="0"/>
              <w:ind w:left="-113" w:right="-108" w:hanging="0"/>
              <w:jc w:val="center"/>
              <w:rPr>
                <w:rFonts w:ascii="Arial" w:hAnsi="Arial" w:cs="Arial"/>
                <w:sz w:val="24"/>
                <w:szCs w:val="24"/>
                <w:highlight w:val="yellow"/>
                <w:lang w:val="es-MX"/>
              </w:rPr>
            </w:pPr>
            <w:r>
              <w:rPr>
                <w:rFonts w:cs="Arial" w:ascii="Arial" w:hAnsi="Arial"/>
                <w:sz w:val="24"/>
                <w:szCs w:val="24"/>
                <w:lang w:val="es-MX"/>
              </w:rPr>
              <w:t>a)</w:t>
            </w:r>
          </w:p>
        </w:tc>
        <w:tc>
          <w:tcPr>
            <w:tcW w:w="2406" w:type="dxa"/>
            <w:tcBorders/>
          </w:tcPr>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evidenció deficiencias en el control del tráfico marítimo jurisdiccional, zonas de seguridad, balsas jaula, centros de cultivo, boyas de amarre, etc. debido a la carencia de tableros físicos de apoyo.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t>Se informó que estaba en proceso de adquisición un  tablero de apoyo para el control del tráfico marítimo.</w:t>
            </w:r>
          </w:p>
          <w:p>
            <w:pPr>
              <w:pStyle w:val="Normal"/>
              <w:spacing w:lineRule="auto" w:line="240" w:before="0" w:after="0"/>
              <w:jc w:val="both"/>
              <w:rPr>
                <w:rFonts w:ascii="Arial" w:hAnsi="Arial" w:cs="Arial"/>
                <w:sz w:val="24"/>
                <w:szCs w:val="24"/>
                <w:lang w:eastAsia="es-CL"/>
              </w:rPr>
            </w:pPr>
            <w:r>
              <w:rPr>
                <w:rFonts w:cs="Arial" w:ascii="Arial" w:hAnsi="Arial"/>
                <w:sz w:val="24"/>
                <w:szCs w:val="24"/>
                <w:lang w:eastAsia="es-CL"/>
              </w:rPr>
            </w:r>
          </w:p>
          <w:p>
            <w:pPr>
              <w:pStyle w:val="Normal"/>
              <w:spacing w:lineRule="auto" w:line="240" w:before="0" w:after="0"/>
              <w:jc w:val="both"/>
              <w:rPr>
                <w:rFonts w:ascii="Arial" w:hAnsi="Arial" w:cs="Arial"/>
                <w:b/>
                <w:b/>
                <w:sz w:val="24"/>
                <w:szCs w:val="24"/>
              </w:rPr>
            </w:pPr>
            <w:r>
              <w:rPr>
                <w:rFonts w:cs="Arial" w:ascii="Arial" w:hAnsi="Arial"/>
                <w:b/>
                <w:sz w:val="24"/>
                <w:szCs w:val="24"/>
              </w:rPr>
            </w:r>
          </w:p>
        </w:tc>
        <w:tc>
          <w:tcPr>
            <w:tcW w:w="3118" w:type="dxa"/>
            <w:tcBorders/>
          </w:tcPr>
          <w:p>
            <w:pPr>
              <w:pStyle w:val="Prrafodelista1"/>
              <w:numPr>
                <w:ilvl w:val="0"/>
                <w:numId w:val="16"/>
              </w:numPr>
              <w:suppressAutoHyphens w:val="false"/>
              <w:spacing w:lineRule="auto" w:line="240" w:before="0" w:after="0"/>
              <w:ind w:left="460" w:hanging="425"/>
              <w:contextualSpacing/>
              <w:jc w:val="both"/>
              <w:rPr>
                <w:rFonts w:ascii="Arial" w:hAnsi="Arial" w:cs="Arial"/>
                <w:sz w:val="24"/>
                <w:szCs w:val="24"/>
              </w:rPr>
            </w:pPr>
            <w:r>
              <w:rPr>
                <w:rFonts w:cs="Arial" w:ascii="Arial" w:hAnsi="Arial"/>
                <w:sz w:val="24"/>
                <w:szCs w:val="24"/>
              </w:rPr>
              <w:t>Resol. N° 6560/1, de fecha 26 de enero de 2011, Manual de Organización y Funcionamiento de Gobernaciones Marítimas y Capitanías de Puerto.</w:t>
            </w:r>
          </w:p>
          <w:p>
            <w:pPr>
              <w:pStyle w:val="Prrafodelista1"/>
              <w:spacing w:lineRule="auto" w:line="240" w:before="0" w:after="0"/>
              <w:ind w:left="460" w:hanging="425"/>
              <w:jc w:val="both"/>
              <w:rPr>
                <w:rFonts w:ascii="Arial" w:hAnsi="Arial" w:cs="Arial"/>
                <w:sz w:val="24"/>
                <w:szCs w:val="24"/>
                <w:lang w:eastAsia="es-CL"/>
              </w:rPr>
            </w:pPr>
            <w:r>
              <w:rPr>
                <w:rFonts w:cs="Arial" w:ascii="Arial" w:hAnsi="Arial"/>
                <w:sz w:val="24"/>
                <w:szCs w:val="24"/>
              </w:rPr>
              <w:t>b.-  Formulario     Revista  de Inspección Departamento de Seguridad y Operaciones Marítimas, punto I, letra Q.- y punto V, letra C.-.</w:t>
            </w:r>
          </w:p>
        </w:tc>
        <w:tc>
          <w:tcPr>
            <w:tcW w:w="2835" w:type="dxa"/>
            <w:tcBorders/>
          </w:tcPr>
          <w:p>
            <w:pPr>
              <w:pStyle w:val="Prrafodelista1"/>
              <w:spacing w:lineRule="auto" w:line="240" w:before="0" w:after="0"/>
              <w:ind w:left="174" w:hanging="0"/>
              <w:jc w:val="both"/>
              <w:rPr>
                <w:rFonts w:ascii="Arial" w:hAnsi="Arial" w:cs="Arial"/>
                <w:sz w:val="24"/>
                <w:szCs w:val="24"/>
              </w:rPr>
            </w:pPr>
            <w:r>
              <w:rPr>
                <w:rFonts w:cs="Arial" w:ascii="Arial" w:hAnsi="Arial"/>
                <w:sz w:val="24"/>
                <w:szCs w:val="24"/>
              </w:rPr>
              <w:t>Dar cumplimiento al art. 1015°, letras C.- y D.-, del Manual de Organización y Funcionamiento de Gobernaciones Marítimas y Capitanías de Puerto.</w:t>
            </w:r>
          </w:p>
          <w:p>
            <w:pPr>
              <w:pStyle w:val="Prrafodelista1"/>
              <w:spacing w:lineRule="auto" w:line="240" w:before="0" w:after="0"/>
              <w:ind w:left="458" w:hanging="0"/>
              <w:jc w:val="both"/>
              <w:rPr>
                <w:rFonts w:ascii="Arial" w:hAnsi="Arial" w:cs="Arial"/>
                <w:sz w:val="24"/>
                <w:szCs w:val="24"/>
                <w:lang w:eastAsia="es-CL"/>
              </w:rPr>
            </w:pPr>
            <w:r>
              <w:rPr>
                <w:rFonts w:cs="Arial" w:ascii="Arial" w:hAnsi="Arial"/>
                <w:sz w:val="24"/>
                <w:szCs w:val="24"/>
                <w:lang w:eastAsia="es-CL"/>
              </w:rPr>
            </w:r>
          </w:p>
        </w:tc>
        <w:tc>
          <w:tcPr>
            <w:tcW w:w="4111" w:type="dxa"/>
            <w:tcBorders/>
          </w:tcPr>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confeccionó 1 tablero físico con información de remolques existentes en la jurisdicción.</w:t>
            </w:r>
          </w:p>
          <w:p>
            <w:pPr>
              <w:pStyle w:val="Normal"/>
              <w:spacing w:lineRule="auto" w:line="240" w:before="0" w:after="0"/>
              <w:jc w:val="both"/>
              <w:rPr>
                <w:rFonts w:ascii="Arial" w:hAnsi="Arial" w:cs="Arial"/>
                <w:b/>
                <w:b/>
                <w:sz w:val="24"/>
                <w:szCs w:val="24"/>
                <w:lang w:val="es-MX"/>
              </w:rPr>
            </w:pPr>
            <w:r>
              <w:rPr>
                <w:rFonts w:cs="Arial" w:ascii="Arial" w:hAnsi="Arial"/>
                <w:b/>
                <w:sz w:val="24"/>
                <w:szCs w:val="24"/>
                <w:lang w:val="es-MX"/>
              </w:rPr>
            </w:r>
          </w:p>
          <w:p>
            <w:pPr>
              <w:pStyle w:val="Normal"/>
              <w:spacing w:lineRule="auto" w:line="240" w:before="0" w:after="0"/>
              <w:jc w:val="both"/>
              <w:rPr>
                <w:rFonts w:ascii="Arial" w:hAnsi="Arial" w:cs="Arial"/>
                <w:sz w:val="24"/>
                <w:szCs w:val="24"/>
                <w:lang w:val="es-MX"/>
              </w:rPr>
            </w:pPr>
            <w:r>
              <w:rPr>
                <w:rFonts w:cs="Arial" w:ascii="Arial" w:hAnsi="Arial"/>
                <w:sz w:val="24"/>
                <w:szCs w:val="24"/>
                <w:lang w:val="es-MX"/>
              </w:rPr>
              <w:t>Se confeccionó 1 tablero físico para el Control del Tráfico Marítimo  jurisdiccional con información de zonas de seguridad, A.M.C.P., muelles y rampas de  conectividad además se identifican los puertos intermedios de conectividad  de la jurisdicción.</w:t>
            </w:r>
          </w:p>
        </w:tc>
        <w:tc>
          <w:tcPr>
            <w:tcW w:w="2693" w:type="dxa"/>
            <w:tcBorders/>
            <w:vAlign w:val="center"/>
          </w:tcPr>
          <w:p>
            <w:pPr>
              <w:pStyle w:val="Normal"/>
              <w:spacing w:lineRule="auto" w:line="240" w:before="0" w:after="0"/>
              <w:jc w:val="center"/>
              <w:rPr>
                <w:rFonts w:ascii="Arial" w:hAnsi="Arial" w:cs="Arial"/>
                <w:b/>
                <w:b/>
                <w:sz w:val="24"/>
                <w:szCs w:val="24"/>
                <w:highlight w:val="yellow"/>
                <w:lang w:val="es-MX"/>
              </w:rPr>
            </w:pPr>
            <w:r>
              <w:rPr>
                <w:rFonts w:cs="Arial" w:ascii="Arial" w:hAnsi="Arial"/>
                <w:b/>
                <w:sz w:val="24"/>
                <w:szCs w:val="24"/>
                <w:lang w:val="es-MX"/>
              </w:rPr>
              <w:t>SUPERADA</w:t>
            </w:r>
          </w:p>
        </w:tc>
        <w:tc>
          <w:tcPr>
            <w:tcW w:w="217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rPr>
      </w:pPr>
      <w:r>
        <w:rPr>
          <w:rFonts w:cs="Arial" w:ascii="Arial" w:hAnsi="Arial"/>
          <w:b/>
          <w:sz w:val="24"/>
          <w:szCs w:val="24"/>
          <w:highlight w:val="yellow"/>
          <w:u w:val="single"/>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p>
      <w:pPr>
        <w:pStyle w:val="Normal"/>
        <w:spacing w:before="0" w:after="0"/>
        <w:jc w:val="center"/>
        <w:rPr>
          <w:rFonts w:ascii="Arial" w:hAnsi="Arial" w:cs="Arial"/>
          <w:b/>
          <w:b/>
          <w:sz w:val="24"/>
          <w:szCs w:val="24"/>
          <w:highlight w:val="yellow"/>
          <w:u w:val="single"/>
          <w:lang w:val="es-MX"/>
        </w:rPr>
      </w:pPr>
      <w:r>
        <w:rPr>
          <w:rFonts w:cs="Arial" w:ascii="Arial" w:hAnsi="Arial"/>
          <w:b/>
          <w:sz w:val="24"/>
          <w:szCs w:val="24"/>
          <w:highlight w:val="yellow"/>
          <w:u w:val="single"/>
          <w:lang w:val="es-MX"/>
        </w:rPr>
      </w:r>
    </w:p>
    <w:tbl>
      <w:tblPr>
        <w:tblStyle w:val="Tablaconcuadrcula"/>
        <w:tblW w:w="1794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406"/>
        <w:gridCol w:w="3118"/>
        <w:gridCol w:w="2835"/>
        <w:gridCol w:w="4111"/>
        <w:gridCol w:w="2693"/>
        <w:gridCol w:w="217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0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7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71" w:type="dxa"/>
            <w:gridSpan w:val="6"/>
            <w:tcBorders/>
            <w:vAlign w:val="center"/>
          </w:tcPr>
          <w:p>
            <w:pPr>
              <w:pStyle w:val="Normal"/>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p>
            <w:pPr>
              <w:pStyle w:val="Normal"/>
              <w:spacing w:lineRule="auto" w:line="240" w:before="0" w:after="0"/>
              <w:ind w:left="34" w:right="30" w:hanging="0"/>
              <w:jc w:val="both"/>
              <w:rPr>
                <w:rFonts w:ascii="Arial" w:hAnsi="Arial" w:cs="Arial"/>
                <w:b/>
                <w:b/>
                <w:sz w:val="16"/>
                <w:szCs w:val="16"/>
                <w:highlight w:val="red"/>
              </w:rPr>
            </w:pPr>
            <w:r>
              <w:rPr>
                <w:rFonts w:eastAsia="Times New Roman" w:cs="Arial" w:ascii="Arial" w:hAnsi="Arial"/>
                <w:b/>
                <w:sz w:val="24"/>
                <w:szCs w:val="24"/>
                <w:lang w:eastAsia="es-CL"/>
              </w:rPr>
              <w:t>4.- JEFATURA DEL DEPTO. DE INTERESES MARÍTIMOS Y PRESERVACIÓN DEL MEDIO AMBIENTE ACUÁTICO.</w:t>
            </w:r>
          </w:p>
        </w:tc>
        <w:tc>
          <w:tcPr>
            <w:tcW w:w="2171" w:type="dxa"/>
            <w:tcBorders/>
          </w:tcPr>
          <w:p>
            <w:pPr>
              <w:pStyle w:val="Normal"/>
              <w:spacing w:lineRule="auto" w:line="240" w:before="0" w:after="0"/>
              <w:rPr>
                <w:rFonts w:ascii="Arial" w:hAnsi="Arial" w:eastAsia="Times New Roman" w:cs="Arial"/>
                <w:b/>
                <w:b/>
                <w:bCs/>
                <w:color w:val="000000"/>
                <w:sz w:val="16"/>
                <w:szCs w:val="16"/>
                <w:highlight w:val="red"/>
                <w:lang w:eastAsia="es-CL"/>
              </w:rPr>
            </w:pPr>
            <w:r>
              <w:rPr>
                <w:rFonts w:eastAsia="Times New Roman" w:cs="Arial" w:ascii="Arial" w:hAnsi="Arial"/>
                <w:b/>
                <w:bCs/>
                <w:color w:val="000000"/>
                <w:sz w:val="16"/>
                <w:szCs w:val="16"/>
                <w:highlight w:val="red"/>
                <w:lang w:eastAsia="es-CL"/>
              </w:rPr>
            </w:r>
          </w:p>
        </w:tc>
      </w:tr>
      <w:tr>
        <w:trPr>
          <w:tblHeader w:val="true"/>
        </w:trPr>
        <w:tc>
          <w:tcPr>
            <w:tcW w:w="608" w:type="dxa"/>
            <w:tcBorders/>
          </w:tcPr>
          <w:p>
            <w:pPr>
              <w:pStyle w:val="Normal"/>
              <w:spacing w:lineRule="auto" w:line="240" w:before="0" w:after="0"/>
              <w:ind w:left="34" w:right="30" w:hanging="0"/>
              <w:jc w:val="center"/>
              <w:rPr>
                <w:rFonts w:ascii="Arial" w:hAnsi="Arial" w:eastAsia="Times New Roman" w:cs="Arial"/>
                <w:sz w:val="24"/>
                <w:szCs w:val="24"/>
                <w:lang w:eastAsia="es-CL"/>
              </w:rPr>
            </w:pPr>
            <w:r>
              <w:rPr>
                <w:rFonts w:eastAsia="Times New Roman" w:cs="Arial" w:ascii="Arial" w:hAnsi="Arial"/>
                <w:sz w:val="24"/>
                <w:szCs w:val="24"/>
                <w:lang w:eastAsia="es-CL"/>
              </w:rPr>
              <w:t>a)</w:t>
            </w:r>
          </w:p>
        </w:tc>
        <w:tc>
          <w:tcPr>
            <w:tcW w:w="2406" w:type="dxa"/>
            <w:tcBorders/>
          </w:tcPr>
          <w:p>
            <w:pPr>
              <w:pStyle w:val="Normal"/>
              <w:spacing w:lineRule="atLeast" w:line="100" w:before="0" w:after="0"/>
              <w:jc w:val="both"/>
              <w:rPr>
                <w:rFonts w:ascii="Arial" w:hAnsi="Arial" w:cs="Arial"/>
                <w:sz w:val="24"/>
                <w:szCs w:val="24"/>
              </w:rPr>
            </w:pPr>
            <w:r>
              <w:rPr>
                <w:rFonts w:cs="Arial" w:ascii="Arial" w:hAnsi="Arial"/>
                <w:sz w:val="24"/>
                <w:szCs w:val="24"/>
              </w:rPr>
              <w:t xml:space="preserve">Se evidenció que, en el programa de fiscalización del departamento, no se incluyó a las Concesiones de Acuicultura (CC.AA.). </w:t>
            </w:r>
          </w:p>
        </w:tc>
        <w:tc>
          <w:tcPr>
            <w:tcW w:w="3118" w:type="dxa"/>
            <w:tcBorders/>
          </w:tcPr>
          <w:p>
            <w:pPr>
              <w:pStyle w:val="Normal"/>
              <w:spacing w:lineRule="atLeast" w:line="100" w:before="0" w:after="0"/>
              <w:jc w:val="both"/>
              <w:rPr>
                <w:rFonts w:ascii="Arial" w:hAnsi="Arial" w:cs="Arial"/>
                <w:sz w:val="24"/>
                <w:szCs w:val="24"/>
              </w:rPr>
            </w:pPr>
            <w:r>
              <w:rPr>
                <w:rFonts w:cs="Arial" w:ascii="Arial" w:hAnsi="Arial"/>
                <w:sz w:val="24"/>
                <w:szCs w:val="24"/>
              </w:rPr>
              <w:t>Reglamento de concesiones y autorizaciones de acuicultura, D.S. Nº 290, de fecha 28 de mayo de 1993, art. 47° c) y 48°.</w:t>
            </w:r>
          </w:p>
        </w:tc>
        <w:tc>
          <w:tcPr>
            <w:tcW w:w="2835" w:type="dxa"/>
            <w:tcBorders/>
          </w:tcPr>
          <w:p>
            <w:pPr>
              <w:pStyle w:val="Normal"/>
              <w:spacing w:lineRule="atLeast" w:line="100" w:before="0" w:after="0"/>
              <w:jc w:val="both"/>
              <w:rPr>
                <w:rFonts w:ascii="Arial" w:hAnsi="Arial" w:cs="Arial"/>
                <w:sz w:val="24"/>
                <w:szCs w:val="24"/>
              </w:rPr>
            </w:pPr>
            <w:r>
              <w:rPr>
                <w:rFonts w:cs="Arial" w:ascii="Arial" w:hAnsi="Arial"/>
                <w:sz w:val="24"/>
                <w:szCs w:val="24"/>
              </w:rPr>
              <w:t xml:space="preserve">Modificar el programa de fiscalización, objeto incluir a las CC.AA., de acuerdo a la realidad jurisdiccional y disponibilidad de medios, remitiendo el acto administrativo correspondiente que regulariza esta observación. </w:t>
            </w:r>
          </w:p>
        </w:tc>
        <w:tc>
          <w:tcPr>
            <w:tcW w:w="4111" w:type="dxa"/>
            <w:tcBorders/>
            <w:vAlign w:val="center"/>
          </w:tcPr>
          <w:p>
            <w:pPr>
              <w:pStyle w:val="Normal"/>
              <w:spacing w:lineRule="atLeast" w:line="100" w:before="0" w:after="0"/>
              <w:jc w:val="both"/>
              <w:rPr>
                <w:rFonts w:ascii="Arial" w:hAnsi="Arial" w:cs="Arial"/>
                <w:sz w:val="24"/>
                <w:szCs w:val="24"/>
              </w:rPr>
            </w:pPr>
            <w:r>
              <w:rPr>
                <w:rFonts w:cs="Arial" w:ascii="Arial" w:hAnsi="Arial"/>
                <w:sz w:val="24"/>
                <w:szCs w:val="24"/>
                <w:lang w:val="es-MX"/>
              </w:rPr>
              <w:t xml:space="preserve">Plan Nacional de Fiscalización para CC.AA. </w:t>
            </w:r>
            <w:r>
              <w:rPr>
                <w:rFonts w:cs="Arial" w:ascii="Arial" w:hAnsi="Arial"/>
                <w:sz w:val="24"/>
                <w:szCs w:val="24"/>
              </w:rPr>
              <w:t>c</w:t>
            </w:r>
            <w:r>
              <w:rPr>
                <w:rFonts w:cs="Arial" w:ascii="Arial" w:hAnsi="Arial"/>
                <w:sz w:val="24"/>
                <w:szCs w:val="24"/>
                <w:lang w:val="es-MX"/>
              </w:rPr>
              <w:t xml:space="preserve">on instrucciones a las Autoridades </w:t>
            </w:r>
            <w:r>
              <w:rPr>
                <w:rFonts w:cs="Arial" w:ascii="Arial" w:hAnsi="Arial"/>
                <w:sz w:val="24"/>
                <w:szCs w:val="24"/>
              </w:rPr>
              <w:t>M</w:t>
            </w:r>
            <w:r>
              <w:rPr>
                <w:rFonts w:cs="Arial" w:ascii="Arial" w:hAnsi="Arial"/>
                <w:sz w:val="24"/>
                <w:szCs w:val="24"/>
                <w:lang w:val="es-MX"/>
              </w:rPr>
              <w:t xml:space="preserve">arítimas Locales </w:t>
            </w:r>
            <w:r>
              <w:rPr>
                <w:rFonts w:cs="Arial" w:ascii="Arial" w:hAnsi="Arial"/>
                <w:sz w:val="24"/>
                <w:szCs w:val="24"/>
              </w:rPr>
              <w:t>s</w:t>
            </w:r>
            <w:r>
              <w:rPr>
                <w:rFonts w:cs="Arial" w:ascii="Arial" w:hAnsi="Arial"/>
                <w:sz w:val="24"/>
                <w:szCs w:val="24"/>
                <w:lang w:val="es-MX"/>
              </w:rPr>
              <w:t xml:space="preserve">erá remitido oficialmente por DIRINMAR, el cual se encuentra en proceso de firma </w:t>
            </w:r>
            <w:r>
              <w:rPr>
                <w:rFonts w:cs="Arial" w:ascii="Arial" w:hAnsi="Arial"/>
                <w:sz w:val="24"/>
                <w:szCs w:val="24"/>
              </w:rPr>
              <w:t>por el</w:t>
            </w:r>
            <w:r>
              <w:rPr>
                <w:rFonts w:cs="Arial" w:ascii="Arial" w:hAnsi="Arial"/>
                <w:sz w:val="24"/>
                <w:szCs w:val="24"/>
                <w:lang w:val="es-MX"/>
              </w:rPr>
              <w:t xml:space="preserve"> Sr. Almirante</w:t>
            </w:r>
            <w:r>
              <w:rPr>
                <w:rFonts w:cs="Arial" w:ascii="Arial" w:hAnsi="Arial"/>
                <w:sz w:val="24"/>
                <w:szCs w:val="24"/>
              </w:rPr>
              <w:t xml:space="preserve">, según lo informado </w:t>
            </w:r>
            <w:r>
              <w:rPr>
                <w:rFonts w:cs="Arial" w:ascii="Arial" w:hAnsi="Arial"/>
                <w:sz w:val="24"/>
                <w:szCs w:val="24"/>
                <w:lang w:val="es-MX"/>
              </w:rPr>
              <w:t xml:space="preserve">por Encargado de CC.MM. de la Gobernación Marítima de Aysén, </w:t>
            </w:r>
            <w:r>
              <w:rPr>
                <w:rFonts w:cs="Arial" w:ascii="Arial" w:hAnsi="Arial"/>
                <w:sz w:val="24"/>
                <w:szCs w:val="24"/>
              </w:rPr>
              <w:t>luego de consultar</w:t>
            </w:r>
            <w:r>
              <w:rPr>
                <w:rFonts w:cs="Arial" w:ascii="Arial" w:hAnsi="Arial"/>
                <w:sz w:val="24"/>
                <w:szCs w:val="24"/>
                <w:lang w:val="es-MX"/>
              </w:rPr>
              <w:t xml:space="preserve"> al Dpto. Borde Costero </w:t>
            </w:r>
            <w:r>
              <w:rPr>
                <w:rFonts w:cs="Arial" w:ascii="Arial" w:hAnsi="Arial"/>
                <w:sz w:val="24"/>
                <w:szCs w:val="24"/>
              </w:rPr>
              <w:t xml:space="preserve">de la DIRINMAR, </w:t>
            </w:r>
            <w:r>
              <w:rPr>
                <w:rFonts w:cs="Arial" w:ascii="Arial" w:hAnsi="Arial"/>
                <w:sz w:val="24"/>
                <w:szCs w:val="24"/>
                <w:lang w:val="es-MX"/>
              </w:rPr>
              <w:t xml:space="preserve">según correo electrónico de </w:t>
            </w:r>
            <w:hyperlink r:id="rId6">
              <w:r>
                <w:rPr>
                  <w:rStyle w:val="EnlacedeInternet"/>
                  <w:rFonts w:cs="Arial" w:ascii="Arial" w:hAnsi="Arial"/>
                  <w:sz w:val="24"/>
                  <w:szCs w:val="24"/>
                  <w:lang w:val="es-MX"/>
                </w:rPr>
                <w:t>eyanez@dgtm.cl</w:t>
              </w:r>
            </w:hyperlink>
            <w:r>
              <w:rPr>
                <w:rStyle w:val="EnlacedeInternet"/>
                <w:rFonts w:cs="Arial" w:ascii="Arial" w:hAnsi="Arial"/>
                <w:sz w:val="24"/>
                <w:szCs w:val="24"/>
                <w:lang w:val="es-MX"/>
              </w:rPr>
              <w:t>,</w:t>
            </w:r>
            <w:r>
              <w:rPr>
                <w:rFonts w:cs="Arial" w:ascii="Arial" w:hAnsi="Arial"/>
                <w:sz w:val="24"/>
                <w:szCs w:val="24"/>
                <w:lang w:val="es-MX"/>
              </w:rPr>
              <w:t xml:space="preserve"> de fecha 1 de julio de 2021</w:t>
            </w:r>
            <w:r>
              <w:rPr>
                <w:rFonts w:cs="Arial" w:ascii="Arial" w:hAnsi="Arial"/>
                <w:sz w:val="24"/>
                <w:szCs w:val="24"/>
              </w:rPr>
              <w:t xml:space="preserve">. </w:t>
            </w:r>
          </w:p>
          <w:p>
            <w:pPr>
              <w:pStyle w:val="Normal"/>
              <w:spacing w:lineRule="atLeast" w:line="100" w:before="0" w:after="0"/>
              <w:jc w:val="both"/>
              <w:rPr>
                <w:rFonts w:ascii="Arial" w:hAnsi="Arial" w:cs="Arial"/>
                <w:sz w:val="24"/>
                <w:szCs w:val="24"/>
              </w:rPr>
            </w:pPr>
            <w:r>
              <w:rPr>
                <w:rFonts w:cs="Arial" w:ascii="Arial" w:hAnsi="Arial"/>
                <w:sz w:val="24"/>
                <w:szCs w:val="24"/>
              </w:rPr>
              <w:t>Se adjunta correo, como referencia, en anexo “E”.</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PENDIENTE</w:t>
            </w:r>
          </w:p>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rPr>
              <w:t>Hasta que se publique Plan Nacional de Fiscalización CC.AA., esa Capuerto debe tener un plan local, remitir copia del plan local.</w:t>
            </w:r>
          </w:p>
        </w:tc>
        <w:tc>
          <w:tcPr>
            <w:tcW w:w="2171" w:type="dxa"/>
            <w:tcBorders/>
          </w:tcPr>
          <w:p>
            <w:pPr>
              <w:pStyle w:val="Normal"/>
              <w:spacing w:lineRule="auto" w:line="240" w:before="0" w:after="0"/>
              <w:jc w:val="both"/>
              <w:rPr>
                <w:rFonts w:ascii="Arial" w:hAnsi="Arial" w:cs="Arial"/>
                <w:sz w:val="24"/>
                <w:szCs w:val="24"/>
                <w:lang w:val="es-MX" w:eastAsia="es-CL"/>
              </w:rPr>
            </w:pPr>
            <w:r>
              <w:rPr>
                <w:rFonts w:cs="Arial" w:ascii="Arial" w:hAnsi="Arial"/>
                <w:sz w:val="24"/>
                <w:szCs w:val="24"/>
                <w:lang w:val="es-MX" w:eastAsia="es-CL"/>
              </w:rPr>
              <w:t xml:space="preserve">Se confeccionó el “Plan de Fiscalización de Concesiones de Acuicultura en la jurisdicción de la Capitanía de Puerto de Puerto Cisnes”, C.P.CIS. ORD. N° 1200/1160, de fecha 10 de diciembre de 2021. </w:t>
            </w:r>
          </w:p>
          <w:p>
            <w:pPr>
              <w:pStyle w:val="Normal"/>
              <w:spacing w:lineRule="auto" w:line="240" w:before="0" w:after="0"/>
              <w:jc w:val="both"/>
              <w:rPr>
                <w:rFonts w:ascii="Arial" w:hAnsi="Arial" w:cs="Arial"/>
                <w:sz w:val="24"/>
                <w:szCs w:val="24"/>
                <w:lang w:val="es-MX" w:eastAsia="es-CL"/>
              </w:rPr>
            </w:pPr>
            <w:r>
              <w:rPr>
                <w:rFonts w:cs="Arial" w:ascii="Arial" w:hAnsi="Arial"/>
                <w:sz w:val="24"/>
                <w:szCs w:val="24"/>
                <w:lang w:val="es-MX" w:eastAsia="es-CL"/>
              </w:rPr>
            </w:r>
          </w:p>
          <w:p>
            <w:pPr>
              <w:pStyle w:val="Normal"/>
              <w:spacing w:lineRule="auto" w:line="240" w:before="0" w:after="0"/>
              <w:jc w:val="both"/>
              <w:rPr>
                <w:rFonts w:ascii="Arial" w:hAnsi="Arial" w:cs="Arial"/>
                <w:b/>
                <w:b/>
                <w:sz w:val="24"/>
                <w:szCs w:val="24"/>
                <w:lang w:val="es-MX"/>
              </w:rPr>
            </w:pPr>
            <w:r>
              <w:rPr>
                <w:rFonts w:cs="Arial" w:ascii="Arial" w:hAnsi="Arial"/>
                <w:sz w:val="24"/>
                <w:szCs w:val="24"/>
                <w:lang w:val="es-MX" w:eastAsia="es-CL"/>
              </w:rPr>
              <w:t>Se adjunta en Anexo “E” copia del citado Plan.</w:t>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p>
      <w:pPr>
        <w:pStyle w:val="Normal"/>
        <w:spacing w:before="0" w:after="0"/>
        <w:jc w:val="center"/>
        <w:rPr>
          <w:rFonts w:ascii="Arial" w:hAnsi="Arial" w:cs="Arial"/>
          <w:b/>
          <w:b/>
          <w:sz w:val="24"/>
          <w:szCs w:val="24"/>
          <w:u w:val="single"/>
        </w:rPr>
      </w:pPr>
      <w:r>
        <w:rPr>
          <w:rFonts w:cs="Arial" w:ascii="Arial" w:hAnsi="Arial"/>
          <w:b/>
          <w:sz w:val="24"/>
          <w:szCs w:val="24"/>
          <w:u w:val="single"/>
        </w:rPr>
      </w:r>
    </w:p>
    <w:tbl>
      <w:tblPr>
        <w:tblStyle w:val="Tablaconcuadrcula"/>
        <w:tblW w:w="17943" w:type="dxa"/>
        <w:jc w:val="center"/>
        <w:tblInd w:w="0" w:type="dxa"/>
        <w:tblCellMar>
          <w:top w:w="0" w:type="dxa"/>
          <w:left w:w="108" w:type="dxa"/>
          <w:bottom w:w="0" w:type="dxa"/>
          <w:right w:w="108" w:type="dxa"/>
        </w:tblCellMar>
        <w:tblLook w:firstRow="1" w:noVBand="1" w:lastRow="0" w:firstColumn="1" w:lastColumn="0" w:noHBand="0" w:val="04a0"/>
      </w:tblPr>
      <w:tblGrid>
        <w:gridCol w:w="608"/>
        <w:gridCol w:w="2406"/>
        <w:gridCol w:w="3118"/>
        <w:gridCol w:w="2835"/>
        <w:gridCol w:w="4111"/>
        <w:gridCol w:w="2693"/>
        <w:gridCol w:w="2171"/>
      </w:tblGrid>
      <w:tr>
        <w:trPr>
          <w:tblHeader w:val="true"/>
        </w:trPr>
        <w:tc>
          <w:tcPr>
            <w:tcW w:w="608"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40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311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7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71" w:type="dxa"/>
            <w:gridSpan w:val="6"/>
            <w:tcBorders/>
            <w:vAlign w:val="center"/>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jc w:val="both"/>
              <w:rPr>
                <w:rFonts w:ascii="Arial" w:hAnsi="Arial" w:cs="Arial"/>
                <w:b/>
                <w:b/>
                <w:sz w:val="16"/>
                <w:szCs w:val="16"/>
              </w:rPr>
            </w:pPr>
            <w:r>
              <w:rPr>
                <w:rFonts w:cs="Arial" w:ascii="Arial" w:hAnsi="Arial"/>
                <w:b/>
                <w:sz w:val="24"/>
                <w:szCs w:val="24"/>
                <w:lang w:val="es-MX"/>
              </w:rPr>
              <w:t>División de Concesiones Marítimas.</w:t>
            </w:r>
          </w:p>
        </w:tc>
        <w:tc>
          <w:tcPr>
            <w:tcW w:w="2171"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Pr>
        <w:tc>
          <w:tcPr>
            <w:tcW w:w="608" w:type="dxa"/>
            <w:tcBorders/>
          </w:tcPr>
          <w:p>
            <w:pPr>
              <w:pStyle w:val="Normal"/>
              <w:spacing w:lineRule="auto" w:line="240" w:before="0" w:after="0"/>
              <w:jc w:val="center"/>
              <w:rPr>
                <w:rFonts w:ascii="Arial" w:hAnsi="Arial" w:cs="Arial"/>
                <w:sz w:val="24"/>
                <w:szCs w:val="24"/>
                <w:lang w:val="es-MX"/>
              </w:rPr>
            </w:pPr>
            <w:r>
              <w:rPr>
                <w:rFonts w:cs="Arial" w:ascii="Arial" w:hAnsi="Arial"/>
                <w:sz w:val="24"/>
                <w:szCs w:val="24"/>
                <w:lang w:val="es-MX"/>
              </w:rPr>
              <w:t>a)</w:t>
            </w:r>
          </w:p>
        </w:tc>
        <w:tc>
          <w:tcPr>
            <w:tcW w:w="2406" w:type="dxa"/>
            <w:tcBorders/>
          </w:tcPr>
          <w:p>
            <w:pPr>
              <w:pStyle w:val="Normal"/>
              <w:spacing w:lineRule="atLeast" w:line="100" w:before="0" w:after="0"/>
              <w:ind w:left="33" w:right="33" w:hanging="0"/>
              <w:jc w:val="both"/>
              <w:rPr/>
            </w:pPr>
            <w:r>
              <w:rPr>
                <w:rFonts w:cs="Arial" w:ascii="Arial" w:hAnsi="Arial"/>
                <w:sz w:val="24"/>
                <w:szCs w:val="24"/>
              </w:rPr>
              <w:t xml:space="preserve">Se evidenció falta de continuidad en el cargo de Concesiones Marítimas (CC.MM.) debido a la desvinculación   del Personal a Contrata (PAC) para dicho cargo ocurrida en diciembre 2019. Actualmente está asignado el C1 L José VERDEJO Araya.  </w:t>
            </w:r>
          </w:p>
        </w:tc>
        <w:tc>
          <w:tcPr>
            <w:tcW w:w="3118" w:type="dxa"/>
            <w:tcBorders/>
          </w:tcPr>
          <w:p>
            <w:pPr>
              <w:pStyle w:val="Normal"/>
              <w:spacing w:lineRule="atLeast" w:line="100" w:before="0" w:after="0"/>
              <w:rPr/>
            </w:pPr>
            <w:r>
              <w:rPr/>
            </w:r>
          </w:p>
        </w:tc>
        <w:tc>
          <w:tcPr>
            <w:tcW w:w="2835" w:type="dxa"/>
            <w:tcBorders/>
          </w:tcPr>
          <w:p>
            <w:pPr>
              <w:pStyle w:val="Normal"/>
              <w:spacing w:lineRule="atLeast" w:line="100" w:before="0" w:after="0"/>
              <w:jc w:val="both"/>
              <w:rPr/>
            </w:pPr>
            <w:r>
              <w:rPr>
                <w:rFonts w:cs="Arial" w:ascii="Arial" w:hAnsi="Arial"/>
                <w:sz w:val="24"/>
                <w:szCs w:val="24"/>
              </w:rPr>
              <w:t>Solicitar a su mando operativo el reemplazo del PAC, objeto completar la DD.RR.; en caso no ser satisfecho el requerimiento, se recomienda designar a una persona en Servicio Activo que pueda cumplir con permanencia de a lo menos 3 años, informado el número del documento por el cual se regulariza esta observación.</w:t>
            </w:r>
          </w:p>
        </w:tc>
        <w:tc>
          <w:tcPr>
            <w:tcW w:w="4111" w:type="dxa"/>
            <w:tcBorders/>
            <w:vAlign w:val="center"/>
          </w:tcPr>
          <w:p>
            <w:pPr>
              <w:pStyle w:val="Normal"/>
              <w:spacing w:lineRule="atLeast" w:line="100" w:before="0" w:after="0"/>
              <w:jc w:val="both"/>
              <w:rPr>
                <w:sz w:val="24"/>
                <w:szCs w:val="24"/>
              </w:rPr>
            </w:pPr>
            <w:r>
              <w:rPr>
                <w:rFonts w:ascii="Arial" w:hAnsi="Arial"/>
                <w:sz w:val="24"/>
                <w:szCs w:val="24"/>
              </w:rPr>
              <w:t>Oficio C.P. CIS. Res. N° 1200/279/202, de fecha 31 de marzo de 2021, eleva a la Gobernación Marítima de Aysén, la solicitud de contratación de un PAC DIRECTEMAR para el cargo.</w:t>
            </w:r>
          </w:p>
          <w:p>
            <w:pPr>
              <w:pStyle w:val="Normal"/>
              <w:spacing w:lineRule="atLeast" w:line="100" w:before="0" w:after="0"/>
              <w:jc w:val="both"/>
              <w:rPr>
                <w:sz w:val="24"/>
                <w:szCs w:val="24"/>
              </w:rPr>
            </w:pPr>
            <w:r>
              <w:rPr>
                <w:sz w:val="24"/>
                <w:szCs w:val="24"/>
              </w:rPr>
            </w:r>
          </w:p>
          <w:p>
            <w:pPr>
              <w:pStyle w:val="Normal"/>
              <w:spacing w:lineRule="atLeast" w:line="100" w:before="0" w:after="0"/>
              <w:jc w:val="both"/>
              <w:rPr>
                <w:rFonts w:ascii="Arial" w:hAnsi="Arial"/>
                <w:sz w:val="24"/>
                <w:szCs w:val="24"/>
              </w:rPr>
            </w:pPr>
            <w:r>
              <w:rPr>
                <w:rFonts w:ascii="Arial" w:hAnsi="Arial"/>
                <w:sz w:val="24"/>
                <w:szCs w:val="24"/>
              </w:rPr>
              <w:t>Se efectuó cambio en resolución de cargos C.P. CIS. Res. N° 6030/571, de fecha 23 de junio de 2021, asignando al C1 L. J. BUSTOS R. como suplente quien se encuentra realizando 2do año en la repartición.</w:t>
            </w:r>
          </w:p>
          <w:p>
            <w:pPr>
              <w:pStyle w:val="Normal"/>
              <w:spacing w:lineRule="atLeast" w:line="100" w:before="0" w:after="0"/>
              <w:jc w:val="both"/>
              <w:rPr>
                <w:sz w:val="24"/>
                <w:szCs w:val="24"/>
              </w:rPr>
            </w:pPr>
            <w:r>
              <w:rPr>
                <w:sz w:val="24"/>
                <w:szCs w:val="24"/>
              </w:rPr>
            </w:r>
          </w:p>
        </w:tc>
        <w:tc>
          <w:tcPr>
            <w:tcW w:w="2693" w:type="dxa"/>
            <w:tcBorders/>
            <w:vAlign w:val="center"/>
          </w:tcPr>
          <w:p>
            <w:pPr>
              <w:pStyle w:val="Normal"/>
              <w:spacing w:lineRule="auto" w:line="240" w:before="0" w:after="0"/>
              <w:jc w:val="center"/>
              <w:rPr>
                <w:rFonts w:ascii="Arial" w:hAnsi="Arial" w:cs="Arial"/>
                <w:b/>
                <w:b/>
                <w:sz w:val="24"/>
                <w:szCs w:val="24"/>
              </w:rPr>
            </w:pPr>
            <w:r>
              <w:rPr>
                <w:rFonts w:cs="Arial" w:ascii="Arial" w:hAnsi="Arial"/>
                <w:b/>
                <w:sz w:val="24"/>
                <w:szCs w:val="24"/>
              </w:rPr>
              <w:t>SUPERADA</w:t>
            </w:r>
          </w:p>
        </w:tc>
        <w:tc>
          <w:tcPr>
            <w:tcW w:w="2171" w:type="dxa"/>
            <w:tcBorders/>
          </w:tcPr>
          <w:p>
            <w:pPr>
              <w:pStyle w:val="Normal"/>
              <w:spacing w:lineRule="auto" w:line="240" w:before="0" w:after="0"/>
              <w:jc w:val="center"/>
              <w:rPr>
                <w:rFonts w:ascii="Arial" w:hAnsi="Arial" w:cs="Arial"/>
                <w:b/>
                <w:b/>
                <w:sz w:val="24"/>
                <w:szCs w:val="24"/>
              </w:rPr>
            </w:pPr>
            <w:r>
              <w:rPr>
                <w:rFonts w:cs="Arial" w:ascii="Arial" w:hAnsi="Arial"/>
                <w:b/>
                <w:sz w:val="24"/>
                <w:szCs w:val="24"/>
              </w:rPr>
            </w:r>
          </w:p>
        </w:tc>
      </w:tr>
    </w:tbl>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rPr>
          <w:b/>
          <w:b/>
          <w:u w:val="single"/>
          <w:lang w:val="es-MX"/>
        </w:rPr>
      </w:pPr>
      <w:r>
        <w:rPr>
          <w:b/>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958"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836"/>
        <w:gridCol w:w="2697"/>
        <w:gridCol w:w="2836"/>
        <w:gridCol w:w="4110"/>
        <w:gridCol w:w="2692"/>
        <w:gridCol w:w="2128"/>
        <w:gridCol w:w="51"/>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2"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2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c>
          <w:tcPr>
            <w:tcW w:w="51" w:type="dxa"/>
            <w:tcBorders>
              <w:top w:val="nil"/>
              <w:left w:val="nil"/>
              <w:bottom w:val="nil"/>
              <w:right w:val="nil"/>
            </w:tcBorders>
          </w:tcPr>
          <w:p>
            <w:pPr>
              <w:pStyle w:val="Normal"/>
              <w:spacing w:lineRule="auto" w:line="240" w:before="0" w:after="0"/>
              <w:rPr/>
            </w:pPr>
            <w:r>
              <w:rPr/>
            </w:r>
          </w:p>
        </w:tc>
      </w:tr>
      <w:tr>
        <w:trPr>
          <w:tblHeader w:val="true"/>
          <w:trHeight w:val="580"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836" w:type="dxa"/>
            <w:tcBorders/>
          </w:tcPr>
          <w:p>
            <w:pPr>
              <w:pStyle w:val="Normal"/>
              <w:spacing w:lineRule="atLeast" w:line="100" w:before="0" w:after="0"/>
              <w:jc w:val="both"/>
              <w:rPr/>
            </w:pPr>
            <w:r>
              <w:rPr>
                <w:rFonts w:cs="Arial" w:ascii="Arial" w:hAnsi="Arial"/>
                <w:sz w:val="24"/>
                <w:szCs w:val="24"/>
              </w:rPr>
              <w:t xml:space="preserve">Turismo Agrícola Valle Marta Ltda., desistió de la presentación del expediente SIABC N° 43632, que corresponde al atracadero de naves, pasando a ser un ocupante ilegal, no evidenciándose que se haya efectuado la notificación por parte de esa CAPUERTO. </w:t>
            </w:r>
          </w:p>
        </w:tc>
        <w:tc>
          <w:tcPr>
            <w:tcW w:w="2697" w:type="dxa"/>
            <w:tcBorders/>
          </w:tcPr>
          <w:p>
            <w:pPr>
              <w:pStyle w:val="ListParagraph"/>
              <w:numPr>
                <w:ilvl w:val="0"/>
                <w:numId w:val="17"/>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Reglamento Sobre Concesiones Marítimas, D.S. N° 9 de fecha 11 de enero de 2011, art. 125°.</w:t>
            </w:r>
          </w:p>
          <w:p>
            <w:pPr>
              <w:pStyle w:val="ListParagraph"/>
              <w:numPr>
                <w:ilvl w:val="0"/>
                <w:numId w:val="17"/>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D.G.T.M. y M.M. Ord. N° 3150/2 Vrs., de fecha 3 de marzo de 2021, Plan nacional para fiscalización de CC.MM. y detección de ocupantes ilegales en el borde costero, anexo “B”.</w:t>
            </w:r>
          </w:p>
          <w:p>
            <w:pPr>
              <w:pStyle w:val="ListParagraph"/>
              <w:numPr>
                <w:ilvl w:val="0"/>
                <w:numId w:val="17"/>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Mensaje DIRECTEMAR 241216 JUL 2020.</w:t>
            </w:r>
          </w:p>
        </w:tc>
        <w:tc>
          <w:tcPr>
            <w:tcW w:w="2836" w:type="dxa"/>
            <w:tcBorders/>
            <w:shd w:color="auto" w:fill="auto" w:val="clear"/>
          </w:tcPr>
          <w:p>
            <w:pPr>
              <w:pStyle w:val="ListParagraph"/>
              <w:numPr>
                <w:ilvl w:val="0"/>
                <w:numId w:val="18"/>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 xml:space="preserve">Analizar expediente y verificar notificaciones efectuadas, en caso de no poder comprobarse esa actuación, se deberá ejecutar a la brevedad, remitiendo el acto administrativo correspondiente que regulariza esta observación, de acuerdo al Plan citado en letra b.-  </w:t>
            </w:r>
          </w:p>
          <w:p>
            <w:pPr>
              <w:pStyle w:val="ListParagraph"/>
              <w:numPr>
                <w:ilvl w:val="0"/>
                <w:numId w:val="18"/>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Investigar e informar los motivos por no realizar la notificación correspondiente.</w:t>
            </w:r>
          </w:p>
        </w:tc>
        <w:tc>
          <w:tcPr>
            <w:tcW w:w="4110" w:type="dxa"/>
            <w:tcBorders/>
            <w:vAlign w:val="center"/>
          </w:tcPr>
          <w:p>
            <w:pPr>
              <w:pStyle w:val="ListParagraph"/>
              <w:numPr>
                <w:ilvl w:val="1"/>
                <w:numId w:val="19"/>
              </w:numPr>
              <w:spacing w:lineRule="atLeast" w:line="100" w:before="0" w:after="0"/>
              <w:ind w:left="459" w:hanging="459"/>
              <w:contextualSpacing/>
              <w:jc w:val="both"/>
              <w:rPr>
                <w:rFonts w:ascii="Arial" w:hAnsi="Arial" w:cs="Arial"/>
                <w:sz w:val="24"/>
                <w:szCs w:val="24"/>
              </w:rPr>
            </w:pPr>
            <w:r>
              <w:rPr>
                <w:rFonts w:cs="Arial" w:ascii="Arial" w:hAnsi="Arial"/>
                <w:sz w:val="24"/>
                <w:szCs w:val="24"/>
              </w:rPr>
              <w:t>Notificado mediante C.P. CIS. Ord. N° 12.210/572, de fecha 24 de Junio  de 2021.</w:t>
            </w:r>
          </w:p>
          <w:p>
            <w:pPr>
              <w:pStyle w:val="ListParagraph"/>
              <w:numPr>
                <w:ilvl w:val="0"/>
                <w:numId w:val="19"/>
              </w:numPr>
              <w:spacing w:lineRule="atLeast" w:line="100" w:before="0" w:after="0"/>
              <w:ind w:left="459" w:hanging="459"/>
              <w:contextualSpacing/>
              <w:jc w:val="both"/>
              <w:rPr>
                <w:rFonts w:ascii="Arial" w:hAnsi="Arial" w:cs="Arial"/>
                <w:sz w:val="24"/>
                <w:szCs w:val="24"/>
              </w:rPr>
            </w:pPr>
            <w:r>
              <w:rPr>
                <w:rFonts w:cs="Arial" w:ascii="Arial" w:hAnsi="Arial"/>
                <w:sz w:val="24"/>
                <w:szCs w:val="24"/>
              </w:rPr>
              <w:t xml:space="preserve">No se pudo realizar la notificación por el Enc. de CC.MM. debido al Estado Excepción Constitucional producto de la Pandemia COVID-19, donde la Unidad Marítima LPM-4409 se encontraba restringida solo para casos SAR. y evacuaciones médicas. Además esta Capitanía se encuentra cubriendo controles toque de queda, barreras sanitarias y control de cuarentena en la comuna.  </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79" w:type="dxa"/>
            <w:gridSpan w:val="2"/>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814"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836"/>
        <w:gridCol w:w="2697"/>
        <w:gridCol w:w="2834"/>
        <w:gridCol w:w="4112"/>
        <w:gridCol w:w="2691"/>
        <w:gridCol w:w="2036"/>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69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411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1"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836" w:type="dxa"/>
            <w:tcBorders/>
          </w:tcPr>
          <w:p>
            <w:pPr>
              <w:pStyle w:val="Normal"/>
              <w:spacing w:lineRule="atLeast" w:line="100" w:before="0" w:after="0"/>
              <w:jc w:val="both"/>
              <w:rPr/>
            </w:pPr>
            <w:r>
              <w:rPr>
                <w:rFonts w:cs="Arial" w:ascii="Arial" w:hAnsi="Arial"/>
                <w:sz w:val="24"/>
                <w:szCs w:val="24"/>
              </w:rPr>
              <w:t>Patagonia Connection S.A. tiene en trámite el expediente SIABC N° 35593 por la construcción y uso de muelles, ingresado el 03 de diciembre de 2015 y enviado el 05 de enero del 2018, pasando de “ocupante ilegal” a ser “ocupante ilegal en vías de regularización”, sin embargo, no se evidenció en su carpeta que haya sido notificado como ocupante ilegal y actualmente no está considerado en esta condición.</w:t>
            </w:r>
          </w:p>
        </w:tc>
        <w:tc>
          <w:tcPr>
            <w:tcW w:w="2697" w:type="dxa"/>
            <w:tcBorders/>
          </w:tcPr>
          <w:p>
            <w:pPr>
              <w:pStyle w:val="ListParagraph"/>
              <w:numPr>
                <w:ilvl w:val="0"/>
                <w:numId w:val="20"/>
              </w:numPr>
              <w:suppressAutoHyphens w:val="true"/>
              <w:spacing w:lineRule="atLeast" w:line="100" w:before="0" w:after="0"/>
              <w:ind w:left="459" w:hanging="459"/>
              <w:contextualSpacing/>
              <w:jc w:val="both"/>
              <w:rPr/>
            </w:pPr>
            <w:r>
              <w:rPr>
                <w:rFonts w:cs="Arial" w:ascii="Arial" w:hAnsi="Arial"/>
                <w:sz w:val="24"/>
                <w:szCs w:val="24"/>
              </w:rPr>
              <w:t>Reglamento Sobre Concesiones Marítimas, D.S. N° 9 de fecha 11 de enero de 2011, art. 125°.</w:t>
            </w:r>
          </w:p>
          <w:p>
            <w:pPr>
              <w:pStyle w:val="ListParagraph"/>
              <w:numPr>
                <w:ilvl w:val="0"/>
                <w:numId w:val="20"/>
              </w:numPr>
              <w:suppressAutoHyphens w:val="true"/>
              <w:spacing w:lineRule="atLeast" w:line="100" w:before="0" w:after="0"/>
              <w:ind w:left="459" w:hanging="459"/>
              <w:contextualSpacing/>
              <w:jc w:val="both"/>
              <w:rPr/>
            </w:pPr>
            <w:r>
              <w:rPr>
                <w:rFonts w:cs="Arial" w:ascii="Arial" w:hAnsi="Arial"/>
                <w:sz w:val="24"/>
                <w:szCs w:val="24"/>
              </w:rPr>
              <w:t>D.G.T.M. y M.M. Ord. N° 3150/2 Vrs., de fecha 03 de marzo de 2021, Plan nacional para fiscalización de CC.MM. y detección de ocupantes ilegales en el borde costero, Anexo “B”.</w:t>
            </w:r>
          </w:p>
        </w:tc>
        <w:tc>
          <w:tcPr>
            <w:tcW w:w="2834" w:type="dxa"/>
            <w:tcBorders/>
            <w:shd w:color="auto" w:fill="auto" w:val="clear"/>
          </w:tcPr>
          <w:p>
            <w:pPr>
              <w:pStyle w:val="Normal"/>
              <w:spacing w:lineRule="atLeast" w:line="100" w:before="0" w:after="0"/>
              <w:jc w:val="both"/>
              <w:rPr/>
            </w:pPr>
            <w:r>
              <w:rPr>
                <w:rFonts w:cs="Arial" w:ascii="Arial" w:hAnsi="Arial"/>
                <w:sz w:val="24"/>
                <w:szCs w:val="24"/>
              </w:rPr>
              <w:t>Efectuar procedimiento de notificación de acuerdo al Plan nacional para fiscalización de CC.MM. y detección de ocupantes ilegales en el borde costero y el mensaje naval DIRECTEMAR 241216 JUL 2020, informado el número del documento por el cual se regulariza esta observación.</w:t>
            </w:r>
          </w:p>
        </w:tc>
        <w:tc>
          <w:tcPr>
            <w:tcW w:w="4112" w:type="dxa"/>
            <w:tcBorders/>
          </w:tcPr>
          <w:p>
            <w:pPr>
              <w:pStyle w:val="ListParagraph"/>
              <w:spacing w:lineRule="atLeast" w:line="100" w:before="0" w:after="0"/>
              <w:ind w:left="0" w:hanging="0"/>
              <w:contextualSpacing/>
              <w:jc w:val="both"/>
              <w:rPr/>
            </w:pPr>
            <w:r>
              <w:rPr>
                <w:rFonts w:cs="Arial" w:ascii="Arial" w:hAnsi="Arial"/>
                <w:sz w:val="24"/>
                <w:szCs w:val="24"/>
              </w:rPr>
              <w:t>Reglamento Sobre Concesiones  Marítimas, D.S. N° 9, de fecha 11 de enero de 2011, art. 126°, señala que ocupación durante el trámite de renovación. No se considerará ocupante ilegal. Estudiado expediente trámite se encuentra dentro de proceso de renovación elevado por Memo Ord. N° 12210/19/2018, de fecha 5 de enero de 2018.</w:t>
            </w:r>
          </w:p>
        </w:tc>
        <w:tc>
          <w:tcPr>
            <w:tcW w:w="269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36"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816"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835"/>
        <w:gridCol w:w="2749"/>
        <w:gridCol w:w="2836"/>
        <w:gridCol w:w="3969"/>
        <w:gridCol w:w="2692"/>
        <w:gridCol w:w="2127"/>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74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2"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835" w:type="dxa"/>
            <w:tcBorders/>
          </w:tcPr>
          <w:p>
            <w:pPr>
              <w:pStyle w:val="Normal"/>
              <w:spacing w:lineRule="atLeast" w:line="100" w:before="0" w:after="0"/>
              <w:jc w:val="both"/>
              <w:rPr/>
            </w:pPr>
            <w:r>
              <w:rPr>
                <w:rFonts w:cs="Arial" w:ascii="Arial" w:hAnsi="Arial"/>
                <w:sz w:val="24"/>
                <w:szCs w:val="24"/>
              </w:rPr>
              <w:t>Se evidenció que último requerimiento a la Autoridad de Gobierno por desalojo de ocupantes ilegales controlados e informados durante inspección (21 en total), data en algunos casos, desde hace  más de 2 años.</w:t>
            </w:r>
          </w:p>
        </w:tc>
        <w:tc>
          <w:tcPr>
            <w:tcW w:w="2749" w:type="dxa"/>
            <w:tcBorders/>
          </w:tcPr>
          <w:p>
            <w:pPr>
              <w:pStyle w:val="ListParagraph"/>
              <w:numPr>
                <w:ilvl w:val="0"/>
                <w:numId w:val="21"/>
              </w:numPr>
              <w:suppressAutoHyphens w:val="true"/>
              <w:spacing w:lineRule="atLeast" w:line="100" w:before="0" w:after="0"/>
              <w:ind w:left="459" w:hanging="459"/>
              <w:contextualSpacing/>
              <w:jc w:val="both"/>
              <w:rPr/>
            </w:pPr>
            <w:r>
              <w:rPr>
                <w:rFonts w:cs="Arial" w:ascii="Arial" w:hAnsi="Arial"/>
                <w:sz w:val="24"/>
                <w:szCs w:val="24"/>
              </w:rPr>
              <w:t>Reglamento Sobre Concesiones Marítimas, D.S. N° 9, de fecha 11 de enero de 2011, art. 125°.</w:t>
            </w:r>
          </w:p>
          <w:p>
            <w:pPr>
              <w:pStyle w:val="ListParagraph"/>
              <w:numPr>
                <w:ilvl w:val="0"/>
                <w:numId w:val="21"/>
              </w:numPr>
              <w:suppressAutoHyphens w:val="true"/>
              <w:spacing w:lineRule="atLeast" w:line="100" w:before="0" w:after="0"/>
              <w:ind w:left="459" w:hanging="459"/>
              <w:contextualSpacing/>
              <w:jc w:val="both"/>
              <w:rPr/>
            </w:pPr>
            <w:r>
              <w:rPr>
                <w:rFonts w:cs="Arial" w:ascii="Arial" w:hAnsi="Arial"/>
                <w:sz w:val="24"/>
                <w:szCs w:val="24"/>
              </w:rPr>
              <w:t>D.G.T.M. y M.M. Ord. N° 3150/2 Vrs., de fecha 3 de marzo de 2021, Plan nacional para fiscalización de CC.MM. y detección de ocupantes ilegales en el borde costero, Anexo “B”.</w:t>
            </w:r>
          </w:p>
          <w:p>
            <w:pPr>
              <w:pStyle w:val="ListParagraph"/>
              <w:numPr>
                <w:ilvl w:val="0"/>
                <w:numId w:val="21"/>
              </w:numPr>
              <w:suppressAutoHyphens w:val="true"/>
              <w:spacing w:lineRule="atLeast" w:line="100" w:before="0" w:after="0"/>
              <w:ind w:left="459" w:hanging="459"/>
              <w:contextualSpacing/>
              <w:jc w:val="both"/>
              <w:rPr/>
            </w:pPr>
            <w:r>
              <w:rPr>
                <w:rFonts w:cs="Arial" w:ascii="Arial" w:hAnsi="Arial"/>
                <w:sz w:val="24"/>
                <w:szCs w:val="24"/>
              </w:rPr>
              <w:t>Mensaje DIRECTEMAR 241216 JUL 2020.</w:t>
            </w:r>
          </w:p>
        </w:tc>
        <w:tc>
          <w:tcPr>
            <w:tcW w:w="2836" w:type="dxa"/>
            <w:tcBorders/>
            <w:shd w:color="auto" w:fill="auto" w:val="clear"/>
          </w:tcPr>
          <w:p>
            <w:pPr>
              <w:pStyle w:val="Normal"/>
              <w:spacing w:lineRule="atLeast" w:line="100" w:before="0" w:after="0"/>
              <w:jc w:val="both"/>
              <w:rPr>
                <w:sz w:val="24"/>
                <w:szCs w:val="24"/>
              </w:rPr>
            </w:pPr>
            <w:r>
              <w:rPr>
                <w:rFonts w:cs="Arial" w:ascii="Arial" w:hAnsi="Arial"/>
                <w:sz w:val="24"/>
                <w:szCs w:val="24"/>
              </w:rPr>
              <w:t xml:space="preserve">Antes del 14 de junio de 2021, informar a autoridad de gobierno que se mantiene(n) la(s) ocupación(es) ilegal(es), haciendo referencia al documento por el cual le fue solicitado el auxilio de la fuerza pública inicialmente, excluyendo a aquellos ocupantes ilegales que se encasillan como “ocupantes ilegales en vías de regularización”, según mensaje DIRECTEMAR 241216 JUL 2020. </w:t>
            </w:r>
          </w:p>
          <w:p>
            <w:pPr>
              <w:pStyle w:val="Normal"/>
              <w:spacing w:lineRule="atLeast" w:line="100" w:before="0" w:after="0"/>
              <w:jc w:val="both"/>
              <w:rPr/>
            </w:pPr>
            <w:r>
              <w:rPr>
                <w:rFonts w:cs="Arial" w:ascii="Arial" w:hAnsi="Arial"/>
                <w:sz w:val="24"/>
                <w:szCs w:val="24"/>
              </w:rPr>
              <w:t>En caso que nunca se haya notificado como ocupante ilegal, debe seguir el procedimiento indicado en anexo “B” del Plan citado en B.- Informar cantidad de notificaciones y número de documento, una vez regularizada esta observación.</w:t>
            </w:r>
          </w:p>
        </w:tc>
        <w:tc>
          <w:tcPr>
            <w:tcW w:w="3969" w:type="dxa"/>
            <w:tcBorders/>
          </w:tcPr>
          <w:p>
            <w:pPr>
              <w:pStyle w:val="ListParagraph"/>
              <w:numPr>
                <w:ilvl w:val="0"/>
                <w:numId w:val="22"/>
              </w:numPr>
              <w:spacing w:lineRule="atLeast" w:line="100" w:before="0" w:after="0"/>
              <w:ind w:left="459" w:hanging="425"/>
              <w:contextualSpacing/>
              <w:jc w:val="both"/>
              <w:rPr>
                <w:sz w:val="24"/>
                <w:szCs w:val="24"/>
              </w:rPr>
            </w:pPr>
            <w:r>
              <w:rPr>
                <w:rFonts w:ascii="Arial" w:hAnsi="Arial"/>
                <w:sz w:val="24"/>
                <w:szCs w:val="24"/>
              </w:rPr>
              <w:t>Se informa a la autoridad de gobierno mediante Oficio C.P. CIS. Ord. N° 12210/578/2021, de fecha 25 de junio de 2021. Elevando el catastro de ocupantes ilegales, objeto desalojo con fuerza pública.</w:t>
            </w:r>
          </w:p>
          <w:p>
            <w:pPr>
              <w:pStyle w:val="ListParagraph"/>
              <w:numPr>
                <w:ilvl w:val="0"/>
                <w:numId w:val="22"/>
              </w:numPr>
              <w:spacing w:lineRule="atLeast" w:line="100" w:before="0" w:after="0"/>
              <w:ind w:left="459" w:hanging="425"/>
              <w:contextualSpacing/>
              <w:jc w:val="both"/>
              <w:rPr>
                <w:sz w:val="24"/>
                <w:szCs w:val="24"/>
              </w:rPr>
            </w:pPr>
            <w:r>
              <w:rPr>
                <w:rFonts w:ascii="Arial" w:hAnsi="Arial"/>
                <w:sz w:val="24"/>
                <w:szCs w:val="24"/>
              </w:rPr>
              <w:t xml:space="preserve">Se realizó una nueva notificación siendo notificado mediante Docto. C.P. CIS. N° 12210/572, de fecha 24 de junio de 2021, dando cumplimiento a lo establecido en Plan de Fiscalización de CC.MM.  </w:t>
            </w:r>
          </w:p>
          <w:p>
            <w:pPr>
              <w:pStyle w:val="Normal"/>
              <w:spacing w:lineRule="atLeast" w:line="100" w:before="0" w:after="0"/>
              <w:jc w:val="both"/>
              <w:rPr/>
            </w:pPr>
            <w:r>
              <w:rPr/>
            </w:r>
          </w:p>
          <w:p>
            <w:pPr>
              <w:pStyle w:val="Normal"/>
              <w:spacing w:lineRule="atLeast" w:line="100" w:before="0" w:after="0"/>
              <w:jc w:val="both"/>
              <w:rPr/>
            </w:pPr>
            <w:r>
              <w:rPr/>
            </w:r>
          </w:p>
          <w:p>
            <w:pPr>
              <w:pStyle w:val="Normal"/>
              <w:spacing w:lineRule="atLeast" w:line="100" w:before="0" w:after="0"/>
              <w:jc w:val="both"/>
              <w:rPr/>
            </w:pPr>
            <w:r>
              <w:rPr/>
            </w:r>
          </w:p>
          <w:p>
            <w:pPr>
              <w:pStyle w:val="Normal"/>
              <w:spacing w:lineRule="atLeast" w:line="100" w:before="0" w:after="0"/>
              <w:jc w:val="both"/>
              <w:rPr/>
            </w:pPr>
            <w:r>
              <w:rPr/>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2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917" w:type="dxa"/>
        <w:jc w:val="center"/>
        <w:tblInd w:w="0" w:type="dxa"/>
        <w:tblCellMar>
          <w:top w:w="0" w:type="dxa"/>
          <w:left w:w="108" w:type="dxa"/>
          <w:bottom w:w="0" w:type="dxa"/>
          <w:right w:w="108" w:type="dxa"/>
        </w:tblCellMar>
        <w:tblLook w:firstRow="1" w:noVBand="1" w:lastRow="0" w:firstColumn="1" w:lastColumn="0" w:noHBand="0" w:val="04a0"/>
      </w:tblPr>
      <w:tblGrid>
        <w:gridCol w:w="564"/>
        <w:gridCol w:w="2863"/>
        <w:gridCol w:w="2834"/>
        <w:gridCol w:w="2837"/>
        <w:gridCol w:w="3968"/>
        <w:gridCol w:w="2693"/>
        <w:gridCol w:w="2157"/>
      </w:tblGrid>
      <w:tr>
        <w:trPr>
          <w:tblHeader w:val="true"/>
        </w:trPr>
        <w:tc>
          <w:tcPr>
            <w:tcW w:w="564"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5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759" w:type="dxa"/>
            <w:gridSpan w:val="6"/>
            <w:tcBorders/>
            <w:vAlign w:val="center"/>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rPr>
                <w:rFonts w:ascii="Arial" w:hAnsi="Arial" w:cs="Arial"/>
                <w:b/>
                <w:b/>
                <w:sz w:val="24"/>
                <w:szCs w:val="24"/>
              </w:rPr>
            </w:pPr>
            <w:r>
              <w:rPr>
                <w:rFonts w:eastAsia="Times New Roman" w:cs="Arial" w:ascii="Arial" w:hAnsi="Arial"/>
                <w:b/>
                <w:bCs/>
                <w:color w:val="000000"/>
                <w:sz w:val="24"/>
                <w:szCs w:val="24"/>
                <w:lang w:eastAsia="es-CL"/>
              </w:rPr>
              <w:t>División de Preservación del Medio Ambiente Acuático y Combate de la Contaminación.</w:t>
            </w:r>
          </w:p>
        </w:tc>
        <w:tc>
          <w:tcPr>
            <w:tcW w:w="2157"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Pr>
        <w:tc>
          <w:tcPr>
            <w:tcW w:w="564"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a)</w:t>
            </w:r>
          </w:p>
        </w:tc>
        <w:tc>
          <w:tcPr>
            <w:tcW w:w="2863" w:type="dxa"/>
            <w:tcBorders/>
          </w:tcPr>
          <w:p>
            <w:pPr>
              <w:pStyle w:val="Normal"/>
              <w:spacing w:lineRule="atLeast" w:line="100" w:before="0" w:after="0"/>
              <w:jc w:val="both"/>
              <w:rPr/>
            </w:pPr>
            <w:r>
              <w:rPr>
                <w:rFonts w:cs="Arial" w:ascii="Arial" w:hAnsi="Arial"/>
                <w:sz w:val="24"/>
                <w:szCs w:val="24"/>
              </w:rPr>
              <w:t>Durante inspección al material de combate a la contaminación, se evidenció que existe un inadecuado almacenaje y resguardo de este, puesto que, los paños y barreras absorbentes (aprox. 1 m3) se encontraban acopiados en una caja dentro de un contenedor, que tenía diversos materiales de uso general (maderas, tambores, cajas de plumavit, baterías, rollos de malla).</w:t>
            </w:r>
          </w:p>
        </w:tc>
        <w:tc>
          <w:tcPr>
            <w:tcW w:w="2834" w:type="dxa"/>
            <w:tcBorders/>
          </w:tcPr>
          <w:p>
            <w:pPr>
              <w:pStyle w:val="Normal"/>
              <w:spacing w:lineRule="atLeast" w:line="100" w:before="0" w:after="0"/>
              <w:jc w:val="both"/>
              <w:rPr/>
            </w:pPr>
            <w:r>
              <w:rPr>
                <w:rFonts w:cs="Arial" w:ascii="Arial" w:hAnsi="Arial"/>
                <w:sz w:val="24"/>
                <w:szCs w:val="24"/>
              </w:rPr>
              <w:t>Ordenanza de la Armada, Tratado cuarto, del 2° Comandante, Subdirector y Subjefe, Capítulo I, Título 1, art. 727° y 765°.-</w:t>
            </w:r>
          </w:p>
        </w:tc>
        <w:tc>
          <w:tcPr>
            <w:tcW w:w="2837" w:type="dxa"/>
            <w:tcBorders/>
          </w:tcPr>
          <w:p>
            <w:pPr>
              <w:pStyle w:val="Normal"/>
              <w:spacing w:lineRule="atLeast" w:line="100" w:before="0" w:after="0"/>
              <w:jc w:val="both"/>
              <w:rPr/>
            </w:pPr>
            <w:r>
              <w:rPr>
                <w:rFonts w:cs="Arial" w:ascii="Arial" w:hAnsi="Arial"/>
                <w:sz w:val="24"/>
                <w:szCs w:val="24"/>
              </w:rPr>
              <w:t>Disponer la limpieza y orden del material de combate a la contaminación y la segregación de los otros materiales y elementos que puedan afectar su vida útil, remitiendo imágenes del nuevo orden y almacenamiento, considerando que en esa CAPUERTO hay 03 contenedores de 20 pies.</w:t>
            </w:r>
          </w:p>
        </w:tc>
        <w:tc>
          <w:tcPr>
            <w:tcW w:w="3968" w:type="dxa"/>
            <w:tcBorders/>
          </w:tcPr>
          <w:p>
            <w:pPr>
              <w:pStyle w:val="Normal"/>
              <w:spacing w:lineRule="atLeast" w:line="100" w:before="0" w:after="0"/>
              <w:jc w:val="both"/>
              <w:rPr>
                <w:rFonts w:ascii="Arial" w:hAnsi="Arial"/>
                <w:sz w:val="24"/>
                <w:szCs w:val="24"/>
              </w:rPr>
            </w:pPr>
            <w:r>
              <w:rPr>
                <w:rFonts w:ascii="Arial" w:hAnsi="Arial"/>
                <w:sz w:val="24"/>
                <w:szCs w:val="24"/>
              </w:rPr>
              <w:t>Con fecha 24 de junio de 2021, se realizó limpieza y orden de elemento de combate a la contaminación.</w:t>
            </w:r>
          </w:p>
          <w:p>
            <w:pPr>
              <w:pStyle w:val="Normal"/>
              <w:spacing w:lineRule="atLeast" w:line="100" w:before="0" w:after="0"/>
              <w:jc w:val="both"/>
              <w:rPr>
                <w:rFonts w:ascii="Arial" w:hAnsi="Arial"/>
                <w:sz w:val="24"/>
                <w:szCs w:val="24"/>
              </w:rPr>
            </w:pPr>
            <w:r>
              <w:rPr>
                <w:rFonts w:ascii="Arial" w:hAnsi="Arial"/>
                <w:sz w:val="24"/>
                <w:szCs w:val="24"/>
              </w:rPr>
            </w:r>
          </w:p>
          <w:p>
            <w:pPr>
              <w:pStyle w:val="Normal"/>
              <w:spacing w:lineRule="atLeast" w:line="100" w:before="0" w:after="0"/>
              <w:jc w:val="both"/>
              <w:rPr>
                <w:sz w:val="24"/>
                <w:szCs w:val="24"/>
              </w:rPr>
            </w:pPr>
            <w:r>
              <w:rPr>
                <w:rFonts w:ascii="Arial" w:hAnsi="Arial"/>
                <w:sz w:val="24"/>
                <w:szCs w:val="24"/>
              </w:rPr>
              <w:t xml:space="preserve">Se enviaron fotografías al correo </w:t>
            </w:r>
            <w:hyperlink r:id="rId7">
              <w:r>
                <w:rPr>
                  <w:rStyle w:val="EnlacedeInternet"/>
                  <w:rFonts w:ascii="Arial" w:hAnsi="Arial"/>
                  <w:color w:val="auto"/>
                  <w:sz w:val="24"/>
                  <w:szCs w:val="24"/>
                </w:rPr>
                <w:t>ccruzat@dgtm.cl</w:t>
              </w:r>
            </w:hyperlink>
            <w:r>
              <w:rPr>
                <w:rFonts w:ascii="Arial" w:hAnsi="Arial"/>
                <w:sz w:val="24"/>
                <w:szCs w:val="24"/>
              </w:rPr>
              <w:t xml:space="preserve"> .</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5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958"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836"/>
        <w:gridCol w:w="2839"/>
        <w:gridCol w:w="2836"/>
        <w:gridCol w:w="3968"/>
        <w:gridCol w:w="2694"/>
        <w:gridCol w:w="2178"/>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4"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7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836" w:type="dxa"/>
            <w:tcBorders/>
          </w:tcPr>
          <w:p>
            <w:pPr>
              <w:pStyle w:val="Normal"/>
              <w:spacing w:lineRule="atLeast" w:line="100" w:before="0" w:after="0"/>
              <w:jc w:val="both"/>
              <w:rPr/>
            </w:pPr>
            <w:r>
              <w:rPr>
                <w:rFonts w:cs="Arial" w:ascii="Arial" w:hAnsi="Arial"/>
                <w:sz w:val="24"/>
                <w:szCs w:val="24"/>
              </w:rPr>
              <w:t xml:space="preserve">No se pudo evidenciar la existencia de R.C.A. vigentes en su jurisdicción. </w:t>
            </w:r>
          </w:p>
        </w:tc>
        <w:tc>
          <w:tcPr>
            <w:tcW w:w="2839" w:type="dxa"/>
            <w:tcBorders/>
          </w:tcPr>
          <w:p>
            <w:pPr>
              <w:pStyle w:val="Normal"/>
              <w:spacing w:lineRule="atLeast" w:line="100" w:before="0" w:after="0"/>
              <w:jc w:val="both"/>
              <w:rPr/>
            </w:pPr>
            <w:r>
              <w:rPr>
                <w:rFonts w:cs="Arial" w:ascii="Arial" w:hAnsi="Arial"/>
                <w:sz w:val="24"/>
                <w:szCs w:val="24"/>
              </w:rPr>
              <w:t>Resolución D.G.T.M. y M.M. Ord. N° 6560/1 Vrs., de fecha 26 de enero de 2011, Manual de Organización y Operaciones de Gobernaciones Marítimas y Capitanías de Puerto, Título 10, art. 1025°, B.-</w:t>
            </w:r>
          </w:p>
        </w:tc>
        <w:tc>
          <w:tcPr>
            <w:tcW w:w="2836" w:type="dxa"/>
            <w:tcBorders/>
            <w:shd w:color="auto" w:fill="auto" w:val="clear"/>
          </w:tcPr>
          <w:p>
            <w:pPr>
              <w:pStyle w:val="Normal"/>
              <w:spacing w:lineRule="atLeast" w:line="100" w:before="0" w:after="0"/>
              <w:jc w:val="both"/>
              <w:rPr/>
            </w:pPr>
            <w:r>
              <w:rPr>
                <w:rFonts w:cs="Arial" w:ascii="Arial" w:hAnsi="Arial"/>
                <w:sz w:val="24"/>
                <w:szCs w:val="24"/>
              </w:rPr>
              <w:t xml:space="preserve">Coordinar con el asesor de medio ambiente de la Gobernación Marítima, la mantención actualizada del panorama jurisdiccional de la CAPUERTOCIS de medio ambiente acuático; remitiendo copia a </w:t>
            </w:r>
            <w:hyperlink r:id="rId8">
              <w:r>
                <w:rPr>
                  <w:rStyle w:val="EnlacedeInternet"/>
                  <w:rFonts w:cs="Arial" w:ascii="Arial" w:hAnsi="Arial"/>
                  <w:sz w:val="24"/>
                  <w:szCs w:val="24"/>
                </w:rPr>
                <w:t>ccruzat@dgtm.cl</w:t>
              </w:r>
            </w:hyperlink>
            <w:r>
              <w:rPr>
                <w:rFonts w:cs="Arial" w:ascii="Arial" w:hAnsi="Arial"/>
                <w:sz w:val="24"/>
                <w:szCs w:val="24"/>
              </w:rPr>
              <w:t xml:space="preserve"> del documento que regulariza esta observación.</w:t>
            </w:r>
          </w:p>
        </w:tc>
        <w:tc>
          <w:tcPr>
            <w:tcW w:w="3968" w:type="dxa"/>
            <w:tcBorders/>
            <w:vAlign w:val="center"/>
          </w:tcPr>
          <w:p>
            <w:pPr>
              <w:pStyle w:val="ListParagraph"/>
              <w:numPr>
                <w:ilvl w:val="0"/>
                <w:numId w:val="24"/>
              </w:numPr>
              <w:spacing w:lineRule="atLeast" w:line="100" w:before="0" w:after="0"/>
              <w:ind w:left="459" w:hanging="425"/>
              <w:contextualSpacing/>
              <w:jc w:val="both"/>
              <w:rPr>
                <w:rFonts w:ascii="Arial" w:hAnsi="Arial"/>
                <w:sz w:val="24"/>
                <w:szCs w:val="24"/>
              </w:rPr>
            </w:pPr>
            <w:r>
              <w:rPr>
                <w:rFonts w:ascii="Arial" w:hAnsi="Arial"/>
                <w:sz w:val="24"/>
                <w:szCs w:val="24"/>
              </w:rPr>
              <w:t>Mediante MSG MARITGOBAYS 251216 JUN 2021, se solicitó panorama actualizado de las R.C.A. a nivel jurisdiccional.</w:t>
            </w:r>
          </w:p>
          <w:p>
            <w:pPr>
              <w:pStyle w:val="ListParagraph"/>
              <w:numPr>
                <w:ilvl w:val="0"/>
                <w:numId w:val="24"/>
              </w:numPr>
              <w:spacing w:lineRule="atLeast" w:line="100" w:before="0" w:after="0"/>
              <w:ind w:left="459" w:hanging="425"/>
              <w:contextualSpacing/>
              <w:jc w:val="both"/>
              <w:rPr>
                <w:sz w:val="24"/>
                <w:szCs w:val="24"/>
              </w:rPr>
            </w:pPr>
            <w:r>
              <w:rPr>
                <w:rFonts w:ascii="Arial" w:hAnsi="Arial"/>
                <w:sz w:val="24"/>
                <w:szCs w:val="24"/>
              </w:rPr>
              <w:t xml:space="preserve">Mediante MSG MARITGOBAYS 291227 JUN 2021,  se recepciona panorama de superficie jurisdiccional actualizado. </w:t>
            </w:r>
            <w:r>
              <w:rPr>
                <w:sz w:val="24"/>
                <w:szCs w:val="24"/>
              </w:rPr>
              <w:t xml:space="preserve"> </w:t>
            </w:r>
          </w:p>
          <w:p>
            <w:pPr>
              <w:pStyle w:val="ListParagraph"/>
              <w:numPr>
                <w:ilvl w:val="0"/>
                <w:numId w:val="24"/>
              </w:numPr>
              <w:spacing w:lineRule="atLeast" w:line="100" w:before="0" w:after="0"/>
              <w:ind w:left="459" w:hanging="425"/>
              <w:contextualSpacing/>
              <w:jc w:val="both"/>
              <w:rPr>
                <w:sz w:val="24"/>
                <w:szCs w:val="24"/>
              </w:rPr>
            </w:pPr>
            <w:r>
              <w:rPr>
                <w:rFonts w:ascii="Arial" w:hAnsi="Arial"/>
                <w:sz w:val="24"/>
                <w:szCs w:val="24"/>
              </w:rPr>
              <w:t xml:space="preserve">Se envía información a correo  </w:t>
            </w:r>
            <w:hyperlink r:id="rId9">
              <w:r>
                <w:rPr>
                  <w:rStyle w:val="EnlacedeInternet"/>
                  <w:rFonts w:ascii="Arial" w:hAnsi="Arial"/>
                  <w:color w:val="auto"/>
                  <w:sz w:val="24"/>
                  <w:szCs w:val="24"/>
                </w:rPr>
                <w:t>ccruzat@dgtm.cl</w:t>
              </w:r>
            </w:hyperlink>
            <w:r>
              <w:rPr>
                <w:rStyle w:val="EnlacedeInternet"/>
                <w:rFonts w:ascii="Arial" w:hAnsi="Arial"/>
                <w:color w:val="auto"/>
                <w:sz w:val="24"/>
                <w:szCs w:val="24"/>
              </w:rPr>
              <w:t>.</w:t>
            </w:r>
            <w:r>
              <w:rPr>
                <w:rFonts w:ascii="Arial" w:hAnsi="Arial"/>
                <w:sz w:val="24"/>
                <w:szCs w:val="24"/>
              </w:rPr>
              <w:t xml:space="preserve">  </w:t>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78"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r>
        <w:trPr>
          <w:tblHeader w:val="true"/>
          <w:trHeight w:val="580"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c)</w:t>
            </w:r>
          </w:p>
        </w:tc>
        <w:tc>
          <w:tcPr>
            <w:tcW w:w="2836" w:type="dxa"/>
            <w:tcBorders/>
          </w:tcPr>
          <w:p>
            <w:pPr>
              <w:pStyle w:val="Normal"/>
              <w:spacing w:lineRule="atLeast" w:line="100" w:before="0" w:after="0"/>
              <w:jc w:val="both"/>
              <w:rPr>
                <w:rFonts w:ascii="Arial" w:hAnsi="Arial" w:cs="Arial"/>
                <w:sz w:val="24"/>
                <w:szCs w:val="24"/>
              </w:rPr>
            </w:pPr>
            <w:r>
              <w:rPr>
                <w:rFonts w:cs="Arial" w:ascii="Arial" w:hAnsi="Arial"/>
                <w:sz w:val="24"/>
                <w:szCs w:val="24"/>
              </w:rPr>
              <w:t xml:space="preserve">Se evidenció incumplimiento del Plan de fiscalización de la normativa ambiental para el primer trimestre del presente año, establecido en la O.P.I. de la MARITGOBAYS N° 704, de fecha 27 de abril de 2021, Anexo “A”.  </w:t>
            </w:r>
          </w:p>
        </w:tc>
        <w:tc>
          <w:tcPr>
            <w:tcW w:w="2839" w:type="dxa"/>
            <w:tcBorders/>
          </w:tcPr>
          <w:p>
            <w:pPr>
              <w:pStyle w:val="ListParagraph"/>
              <w:numPr>
                <w:ilvl w:val="0"/>
                <w:numId w:val="23"/>
              </w:numPr>
              <w:suppressAutoHyphens w:val="true"/>
              <w:spacing w:lineRule="atLeast" w:line="100" w:before="0" w:after="0"/>
              <w:ind w:left="459" w:hanging="459"/>
              <w:contextualSpacing/>
              <w:jc w:val="both"/>
              <w:rPr>
                <w:rFonts w:ascii="Arial" w:hAnsi="Arial" w:cs="Arial"/>
                <w:sz w:val="24"/>
                <w:szCs w:val="24"/>
              </w:rPr>
            </w:pPr>
            <w:r>
              <w:rPr>
                <w:rFonts w:cs="Arial" w:ascii="Arial" w:hAnsi="Arial"/>
                <w:sz w:val="24"/>
                <w:szCs w:val="24"/>
              </w:rPr>
              <w:t>Resolución D.G.T.M. y M.M. Ord. N° 6560/1 Vrs., de fecha 26 de enero de 2011, Manual de Organización y Operaciones de Gobernaciones Marítimas y Capitanías de Puerto.</w:t>
            </w:r>
          </w:p>
          <w:p>
            <w:pPr>
              <w:pStyle w:val="ListParagraph"/>
              <w:spacing w:lineRule="atLeast" w:line="100" w:before="0" w:after="0"/>
              <w:ind w:left="465" w:hanging="0"/>
              <w:contextualSpacing/>
              <w:jc w:val="both"/>
              <w:rPr>
                <w:rFonts w:ascii="Arial" w:hAnsi="Arial" w:cs="Arial"/>
                <w:sz w:val="24"/>
                <w:szCs w:val="24"/>
              </w:rPr>
            </w:pPr>
            <w:r>
              <w:rPr>
                <w:rFonts w:cs="Arial" w:ascii="Arial" w:hAnsi="Arial"/>
                <w:sz w:val="24"/>
                <w:szCs w:val="24"/>
              </w:rPr>
            </w:r>
          </w:p>
        </w:tc>
        <w:tc>
          <w:tcPr>
            <w:tcW w:w="2836" w:type="dxa"/>
            <w:tcBorders/>
            <w:shd w:color="auto" w:fill="auto" w:val="clear"/>
          </w:tcPr>
          <w:p>
            <w:pPr>
              <w:pStyle w:val="Normal"/>
              <w:spacing w:lineRule="atLeast" w:line="100" w:before="0" w:after="0"/>
              <w:jc w:val="both"/>
              <w:rPr/>
            </w:pPr>
            <w:r>
              <w:rPr>
                <w:rFonts w:cs="Arial" w:ascii="Arial" w:hAnsi="Arial"/>
                <w:sz w:val="24"/>
                <w:szCs w:val="24"/>
              </w:rPr>
              <w:t>Solicitar y coordinar con la MARITGOBAYS, la reprogramación o que se deje constancia de los motivos del incumplimiento del respectivo Plan, informando el número del documento interno con el cual se regulariza esta observación.</w:t>
            </w:r>
          </w:p>
        </w:tc>
        <w:tc>
          <w:tcPr>
            <w:tcW w:w="3968" w:type="dxa"/>
            <w:tcBorders/>
          </w:tcPr>
          <w:p>
            <w:pPr>
              <w:pStyle w:val="Normal"/>
              <w:spacing w:lineRule="atLeast" w:line="100" w:before="0" w:after="0"/>
              <w:ind w:left="34" w:hanging="0"/>
              <w:jc w:val="both"/>
              <w:rPr>
                <w:rFonts w:ascii="Arial" w:hAnsi="Arial" w:cs="Arial"/>
                <w:sz w:val="24"/>
                <w:szCs w:val="24"/>
              </w:rPr>
            </w:pPr>
            <w:r>
              <w:rPr>
                <w:rFonts w:cs="Arial" w:ascii="Arial" w:hAnsi="Arial"/>
                <w:sz w:val="24"/>
                <w:szCs w:val="24"/>
              </w:rPr>
              <w:t xml:space="preserve">El incumplimiento a la O.P.I. de la MARITGOBAYS N° 704, de fecha 27 de abril de 2021,  se debe a una omisión administrativa,  debido a que fue recepcionada y publicada con fecha  27 de abril de 2021. </w:t>
            </w:r>
          </w:p>
          <w:p>
            <w:pPr>
              <w:pStyle w:val="ListParagraph"/>
              <w:spacing w:lineRule="atLeast" w:line="100" w:before="0" w:after="0"/>
              <w:ind w:left="459" w:hanging="0"/>
              <w:contextualSpacing/>
              <w:jc w:val="both"/>
              <w:rPr/>
            </w:pPr>
            <w:r>
              <w:rPr/>
            </w:r>
          </w:p>
        </w:tc>
        <w:tc>
          <w:tcPr>
            <w:tcW w:w="269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eastAsia="es-CL"/>
              </w:rPr>
              <w:t>SUPERADA</w:t>
            </w:r>
          </w:p>
        </w:tc>
        <w:tc>
          <w:tcPr>
            <w:tcW w:w="2178" w:type="dxa"/>
            <w:tcBorders/>
          </w:tcPr>
          <w:p>
            <w:pPr>
              <w:pStyle w:val="Normal"/>
              <w:spacing w:lineRule="auto" w:line="240" w:before="0" w:after="0"/>
              <w:jc w:val="center"/>
              <w:rPr>
                <w:rFonts w:ascii="Arial" w:hAnsi="Arial" w:cs="Arial"/>
                <w:b/>
                <w:b/>
                <w:sz w:val="24"/>
                <w:szCs w:val="24"/>
                <w:lang w:eastAsia="es-CL"/>
              </w:rPr>
            </w:pPr>
            <w:r>
              <w:rPr>
                <w:rFonts w:cs="Arial" w:ascii="Arial" w:hAnsi="Arial"/>
                <w:b/>
                <w:sz w:val="24"/>
                <w:szCs w:val="24"/>
                <w:lang w:eastAsia="es-CL"/>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775" w:type="dxa"/>
        <w:jc w:val="center"/>
        <w:tblInd w:w="0" w:type="dxa"/>
        <w:tblCellMar>
          <w:top w:w="0" w:type="dxa"/>
          <w:left w:w="108" w:type="dxa"/>
          <w:bottom w:w="0" w:type="dxa"/>
          <w:right w:w="108" w:type="dxa"/>
        </w:tblCellMar>
        <w:tblLook w:firstRow="1" w:noVBand="1" w:lastRow="0" w:firstColumn="1" w:lastColumn="0" w:noHBand="0" w:val="04a0"/>
      </w:tblPr>
      <w:tblGrid>
        <w:gridCol w:w="607"/>
        <w:gridCol w:w="2708"/>
        <w:gridCol w:w="2835"/>
        <w:gridCol w:w="2835"/>
        <w:gridCol w:w="3969"/>
        <w:gridCol w:w="2693"/>
        <w:gridCol w:w="2127"/>
      </w:tblGrid>
      <w:tr>
        <w:trPr>
          <w:tblHeader w:val="true"/>
        </w:trPr>
        <w:tc>
          <w:tcPr>
            <w:tcW w:w="60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08"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127"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0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r>
          </w:p>
        </w:tc>
        <w:tc>
          <w:tcPr>
            <w:tcW w:w="2708" w:type="dxa"/>
            <w:tcBorders/>
          </w:tcPr>
          <w:p>
            <w:pPr>
              <w:pStyle w:val="Normal"/>
              <w:spacing w:lineRule="atLeast" w:line="100" w:before="0" w:after="0"/>
              <w:jc w:val="both"/>
              <w:rPr/>
            </w:pPr>
            <w:r>
              <w:rPr/>
            </w:r>
          </w:p>
        </w:tc>
        <w:tc>
          <w:tcPr>
            <w:tcW w:w="2835" w:type="dxa"/>
            <w:tcBorders/>
          </w:tcPr>
          <w:p>
            <w:pPr>
              <w:pStyle w:val="ListParagraph"/>
              <w:numPr>
                <w:ilvl w:val="0"/>
                <w:numId w:val="25"/>
              </w:numPr>
              <w:spacing w:lineRule="atLeast" w:line="100" w:before="0" w:after="0"/>
              <w:ind w:left="459" w:hanging="459"/>
              <w:contextualSpacing/>
              <w:jc w:val="both"/>
              <w:rPr/>
            </w:pPr>
            <w:r>
              <w:rPr>
                <w:rFonts w:cs="Arial" w:ascii="Arial" w:hAnsi="Arial"/>
                <w:sz w:val="24"/>
                <w:szCs w:val="24"/>
              </w:rPr>
              <w:t>Directiva D.G.T.M. y M.M. A-52/006 de fecha 09 de julio de 2018, Establece las funciones y actividades a desarrollar por parte de los Encargados Regionales del Medio Ambiente Acuático, pertenecientes a la Div. de Preservación del M.A.A. Acuático y Combate a la Contaminación de las GG.MM.</w:t>
            </w:r>
          </w:p>
        </w:tc>
        <w:tc>
          <w:tcPr>
            <w:tcW w:w="2835" w:type="dxa"/>
            <w:tcBorders/>
            <w:shd w:color="auto" w:fill="auto" w:val="clear"/>
          </w:tcPr>
          <w:p>
            <w:pPr>
              <w:pStyle w:val="Normal"/>
              <w:spacing w:lineRule="atLeast" w:line="100" w:before="0" w:after="0"/>
              <w:jc w:val="both"/>
              <w:rPr/>
            </w:pPr>
            <w:r>
              <w:rPr/>
            </w:r>
          </w:p>
        </w:tc>
        <w:tc>
          <w:tcPr>
            <w:tcW w:w="3969" w:type="dxa"/>
            <w:tcBorders/>
          </w:tcPr>
          <w:p>
            <w:pPr>
              <w:pStyle w:val="Normal"/>
              <w:spacing w:lineRule="atLeast" w:line="100" w:before="0" w:after="0"/>
              <w:jc w:val="both"/>
              <w:rPr>
                <w:rFonts w:ascii="Arial" w:hAnsi="Arial" w:cs="Arial"/>
                <w:sz w:val="24"/>
                <w:szCs w:val="24"/>
              </w:rPr>
            </w:pPr>
            <w:r>
              <w:rPr>
                <w:rFonts w:cs="Arial" w:ascii="Arial" w:hAnsi="Arial"/>
                <w:sz w:val="24"/>
                <w:szCs w:val="24"/>
              </w:rPr>
              <w:t>Con fecha 1 de abril de 2021 y producto de las contingencias de mortalidad masiva ocurridas en la jurisdicción se estableció un equipo multidisciplinario con apoyo del personal de medio ambiente de la GMAYS., objeto realizar una fiscalización a la normativa medio ambiental.</w:t>
            </w:r>
          </w:p>
          <w:p>
            <w:pPr>
              <w:pStyle w:val="Normal"/>
              <w:spacing w:lineRule="atLeast" w:line="100" w:before="0" w:after="0"/>
              <w:jc w:val="both"/>
              <w:rPr>
                <w:rFonts w:ascii="Arial" w:hAnsi="Arial" w:cs="Arial"/>
                <w:sz w:val="24"/>
                <w:szCs w:val="24"/>
              </w:rPr>
            </w:pPr>
            <w:r>
              <w:rPr>
                <w:rFonts w:cs="Arial" w:ascii="Arial" w:hAnsi="Arial"/>
                <w:sz w:val="24"/>
                <w:szCs w:val="24"/>
              </w:rPr>
            </w:r>
          </w:p>
          <w:p>
            <w:pPr>
              <w:pStyle w:val="Normal"/>
              <w:spacing w:lineRule="atLeast" w:line="100" w:before="0" w:after="0"/>
              <w:jc w:val="both"/>
              <w:rPr>
                <w:sz w:val="24"/>
                <w:szCs w:val="24"/>
              </w:rPr>
            </w:pPr>
            <w:r>
              <w:rPr>
                <w:rFonts w:cs="Arial" w:ascii="Arial" w:hAnsi="Arial"/>
                <w:sz w:val="24"/>
                <w:szCs w:val="24"/>
              </w:rPr>
              <w:t>Mediante correo electrónico, de fecha 2 de Junio de 2021,  se coordinó con Enc. Medio Ambiente MARITGOBAYS, reprogramación de fiscalización al plan de fiscalización de normativa ambiental   y además se coordina para el mes de agosto fiscalización en conjunto con Superintendencia del Medio Ambiente.</w:t>
            </w:r>
            <w:r>
              <w:rPr>
                <w:rFonts w:ascii="Arial" w:hAnsi="Arial"/>
                <w:sz w:val="24"/>
                <w:szCs w:val="24"/>
              </w:rPr>
              <w:t xml:space="preserve"> </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127"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741" w:type="dxa"/>
        <w:jc w:val="center"/>
        <w:tblInd w:w="0" w:type="dxa"/>
        <w:tblCellMar>
          <w:top w:w="0" w:type="dxa"/>
          <w:left w:w="108" w:type="dxa"/>
          <w:bottom w:w="0" w:type="dxa"/>
          <w:right w:w="108" w:type="dxa"/>
        </w:tblCellMar>
        <w:tblLook w:firstRow="1" w:noVBand="1" w:lastRow="0" w:firstColumn="1" w:lastColumn="0" w:noHBand="0" w:val="04a0"/>
      </w:tblPr>
      <w:tblGrid>
        <w:gridCol w:w="617"/>
        <w:gridCol w:w="2693"/>
        <w:gridCol w:w="2863"/>
        <w:gridCol w:w="2835"/>
        <w:gridCol w:w="3969"/>
        <w:gridCol w:w="2693"/>
        <w:gridCol w:w="2070"/>
      </w:tblGrid>
      <w:tr>
        <w:trPr>
          <w:tblHeader w:val="true"/>
        </w:trPr>
        <w:tc>
          <w:tcPr>
            <w:tcW w:w="617"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6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17"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d)</w:t>
            </w:r>
          </w:p>
        </w:tc>
        <w:tc>
          <w:tcPr>
            <w:tcW w:w="2693" w:type="dxa"/>
            <w:tcBorders/>
          </w:tcPr>
          <w:p>
            <w:pPr>
              <w:pStyle w:val="Normal"/>
              <w:spacing w:lineRule="atLeast" w:line="100" w:before="0" w:after="0"/>
              <w:jc w:val="both"/>
              <w:rPr/>
            </w:pPr>
            <w:r>
              <w:rPr>
                <w:rFonts w:cs="Arial" w:ascii="Arial" w:hAnsi="Arial"/>
                <w:sz w:val="24"/>
                <w:szCs w:val="24"/>
              </w:rPr>
              <w:t xml:space="preserve">En revisión del plan subsidiario de Combate a la Contaminación, se evidenció que en listado y catastro de organismos públicos y privados locales que pueden aportar con medios ante una emergencia, se omitió a las empresas privadas jurisdiccionales.  </w:t>
            </w:r>
          </w:p>
        </w:tc>
        <w:tc>
          <w:tcPr>
            <w:tcW w:w="2863" w:type="dxa"/>
            <w:tcBorders/>
          </w:tcPr>
          <w:p>
            <w:pPr>
              <w:pStyle w:val="Normal"/>
              <w:spacing w:lineRule="atLeast" w:line="100" w:before="0" w:after="0"/>
              <w:jc w:val="both"/>
              <w:rPr/>
            </w:pPr>
            <w:r>
              <w:rPr>
                <w:rFonts w:cs="Arial" w:ascii="Arial" w:hAnsi="Arial"/>
                <w:sz w:val="24"/>
                <w:szCs w:val="24"/>
              </w:rPr>
              <w:t>Plan Nacional de Respuesta ante Derrames de Hidrocarburos u Otras Sustancias Nocivas en el Medio Ambiente Acuático, D.G.T.M. y M.M. Ord N° 3150/1 Vrs., de fecha 19 de noviembre de 2014.</w:t>
            </w:r>
          </w:p>
        </w:tc>
        <w:tc>
          <w:tcPr>
            <w:tcW w:w="2835" w:type="dxa"/>
            <w:tcBorders/>
            <w:shd w:color="auto" w:fill="auto" w:val="clear"/>
          </w:tcPr>
          <w:p>
            <w:pPr>
              <w:pStyle w:val="Normal"/>
              <w:spacing w:lineRule="atLeast" w:line="100" w:before="0" w:after="0"/>
              <w:jc w:val="both"/>
              <w:rPr/>
            </w:pPr>
            <w:r>
              <w:rPr>
                <w:rFonts w:cs="Arial" w:ascii="Arial" w:hAnsi="Arial"/>
                <w:sz w:val="24"/>
                <w:szCs w:val="24"/>
              </w:rPr>
              <w:t>Complementar el Plan subsidiario de Combate a la Contaminación, incluyendo el listado y catastro de organismos públicos y empresas privadas locales, que pueden aportar con medios ante una emergencia, en caso sea necesario.</w:t>
            </w:r>
          </w:p>
          <w:p>
            <w:pPr>
              <w:pStyle w:val="Normal"/>
              <w:spacing w:lineRule="atLeast" w:line="100" w:before="0" w:after="0"/>
              <w:jc w:val="both"/>
              <w:rPr/>
            </w:pPr>
            <w:r>
              <w:rPr>
                <w:rFonts w:cs="Arial" w:ascii="Arial" w:hAnsi="Arial"/>
                <w:sz w:val="24"/>
                <w:szCs w:val="24"/>
              </w:rPr>
              <w:t xml:space="preserve">Remitir copia del documento interno con el cual se regulariza esta observación al email </w:t>
            </w:r>
            <w:hyperlink r:id="rId10">
              <w:r>
                <w:rPr>
                  <w:rStyle w:val="EnlacedeInternet"/>
                  <w:rFonts w:cs="Arial" w:ascii="Arial" w:hAnsi="Arial"/>
                  <w:sz w:val="24"/>
                  <w:szCs w:val="24"/>
                </w:rPr>
                <w:t>ccruzat@dgtm.cl</w:t>
              </w:r>
            </w:hyperlink>
            <w:r>
              <w:rPr>
                <w:rFonts w:cs="Arial" w:ascii="Arial" w:hAnsi="Arial"/>
                <w:sz w:val="24"/>
                <w:szCs w:val="24"/>
              </w:rPr>
              <w:t>.</w:t>
            </w:r>
          </w:p>
        </w:tc>
        <w:tc>
          <w:tcPr>
            <w:tcW w:w="3969" w:type="dxa"/>
            <w:tcBorders/>
          </w:tcPr>
          <w:p>
            <w:pPr>
              <w:pStyle w:val="Normal"/>
              <w:spacing w:lineRule="atLeast" w:line="100" w:before="0" w:after="0"/>
              <w:jc w:val="both"/>
              <w:rPr>
                <w:rFonts w:ascii="Arial" w:hAnsi="Arial" w:cs="Arial"/>
                <w:sz w:val="24"/>
                <w:szCs w:val="24"/>
              </w:rPr>
            </w:pPr>
            <w:r>
              <w:rPr>
                <w:rFonts w:ascii="Arial" w:hAnsi="Arial"/>
                <w:sz w:val="24"/>
                <w:szCs w:val="24"/>
              </w:rPr>
              <w:t xml:space="preserve">Con fecha 29 de Junio de 2021, se actualiza apéndice X al anexo “C”  al Plan Subsidiario de Combate a la Contaminación, C.P. CIS. Ord N° 12000/137/2021, de fecha 19 de febrero de 2021. Agregando </w:t>
            </w:r>
            <w:r>
              <w:rPr>
                <w:rFonts w:cs="Arial" w:ascii="Arial" w:hAnsi="Arial"/>
                <w:sz w:val="24"/>
                <w:szCs w:val="24"/>
              </w:rPr>
              <w:t xml:space="preserve">listado y catastro de organismos públicos y empresas privadas locales. </w:t>
            </w:r>
          </w:p>
          <w:p>
            <w:pPr>
              <w:pStyle w:val="Normal"/>
              <w:spacing w:lineRule="atLeast" w:line="100" w:before="0" w:after="0"/>
              <w:jc w:val="both"/>
              <w:rPr>
                <w:rFonts w:ascii="Arial" w:hAnsi="Arial" w:cs="Arial"/>
                <w:sz w:val="24"/>
                <w:szCs w:val="24"/>
              </w:rPr>
            </w:pPr>
            <w:r>
              <w:rPr>
                <w:rFonts w:cs="Arial" w:ascii="Arial" w:hAnsi="Arial"/>
                <w:sz w:val="24"/>
                <w:szCs w:val="24"/>
              </w:rPr>
            </w:r>
          </w:p>
          <w:p>
            <w:pPr>
              <w:pStyle w:val="Normal"/>
              <w:spacing w:lineRule="atLeast" w:line="100" w:before="0" w:after="0"/>
              <w:jc w:val="both"/>
              <w:rPr>
                <w:sz w:val="24"/>
                <w:szCs w:val="24"/>
              </w:rPr>
            </w:pPr>
            <w:r>
              <w:rPr>
                <w:rFonts w:ascii="Arial" w:hAnsi="Arial"/>
                <w:sz w:val="24"/>
                <w:szCs w:val="24"/>
              </w:rPr>
              <w:t xml:space="preserve">Se remitió a correo electrónico </w:t>
            </w:r>
            <w:hyperlink r:id="rId11">
              <w:r>
                <w:rPr>
                  <w:rStyle w:val="EnlacedeInternet"/>
                  <w:rFonts w:ascii="Arial" w:hAnsi="Arial"/>
                  <w:sz w:val="24"/>
                  <w:szCs w:val="24"/>
                </w:rPr>
                <w:t>ccruzat@dgtm.cl</w:t>
              </w:r>
            </w:hyperlink>
            <w:r>
              <w:rPr>
                <w:rStyle w:val="EnlacedeInternet"/>
                <w:rFonts w:ascii="Arial" w:hAnsi="Arial"/>
                <w:sz w:val="24"/>
                <w:szCs w:val="24"/>
              </w:rPr>
              <w:t>.</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70"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767" w:type="dxa"/>
        <w:jc w:val="center"/>
        <w:tblInd w:w="0" w:type="dxa"/>
        <w:tblCellMar>
          <w:top w:w="0" w:type="dxa"/>
          <w:left w:w="108" w:type="dxa"/>
          <w:bottom w:w="0" w:type="dxa"/>
          <w:right w:w="108" w:type="dxa"/>
        </w:tblCellMar>
        <w:tblLook w:firstRow="1" w:noVBand="1" w:lastRow="0" w:firstColumn="1" w:lastColumn="0" w:noHBand="0" w:val="04a0"/>
      </w:tblPr>
      <w:tblGrid>
        <w:gridCol w:w="659"/>
        <w:gridCol w:w="2691"/>
        <w:gridCol w:w="2836"/>
        <w:gridCol w:w="2836"/>
        <w:gridCol w:w="3969"/>
        <w:gridCol w:w="2693"/>
        <w:gridCol w:w="2082"/>
      </w:tblGrid>
      <w:tr>
        <w:trPr>
          <w:tblHeader w:val="true"/>
        </w:trPr>
        <w:tc>
          <w:tcPr>
            <w:tcW w:w="659"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691"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6"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69"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3"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8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Pr>
        <w:tc>
          <w:tcPr>
            <w:tcW w:w="15684" w:type="dxa"/>
            <w:gridSpan w:val="6"/>
            <w:tcBorders/>
            <w:vAlign w:val="center"/>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p>
            <w:pPr>
              <w:pStyle w:val="Normal"/>
              <w:spacing w:lineRule="auto" w:line="240" w:before="0" w:after="0"/>
              <w:rPr>
                <w:rFonts w:ascii="Arial" w:hAnsi="Arial" w:cs="Arial"/>
                <w:b/>
                <w:b/>
                <w:sz w:val="24"/>
                <w:szCs w:val="24"/>
              </w:rPr>
            </w:pPr>
            <w:r>
              <w:rPr>
                <w:rFonts w:cs="Arial" w:ascii="Arial" w:hAnsi="Arial"/>
                <w:b/>
                <w:sz w:val="24"/>
                <w:szCs w:val="24"/>
              </w:rPr>
              <w:t>División de Educación y Titulación Marítima</w:t>
            </w:r>
            <w:r>
              <w:rPr>
                <w:rFonts w:eastAsia="Times New Roman" w:cs="Arial" w:ascii="Arial" w:hAnsi="Arial"/>
                <w:b/>
                <w:bCs/>
                <w:color w:val="000000"/>
                <w:sz w:val="24"/>
                <w:szCs w:val="24"/>
                <w:lang w:eastAsia="es-CL"/>
              </w:rPr>
              <w:t>.</w:t>
            </w:r>
          </w:p>
        </w:tc>
        <w:tc>
          <w:tcPr>
            <w:tcW w:w="2082" w:type="dxa"/>
            <w:tcBorders/>
          </w:tcPr>
          <w:p>
            <w:pPr>
              <w:pStyle w:val="Normal"/>
              <w:spacing w:lineRule="auto" w:line="240" w:before="0" w:after="0"/>
              <w:rPr>
                <w:rFonts w:ascii="Arial" w:hAnsi="Arial" w:eastAsia="Times New Roman" w:cs="Arial"/>
                <w:b/>
                <w:b/>
                <w:bCs/>
                <w:color w:val="000000"/>
                <w:sz w:val="16"/>
                <w:szCs w:val="16"/>
                <w:lang w:eastAsia="es-CL"/>
              </w:rPr>
            </w:pPr>
            <w:r>
              <w:rPr>
                <w:rFonts w:eastAsia="Times New Roman" w:cs="Arial" w:ascii="Arial" w:hAnsi="Arial"/>
                <w:b/>
                <w:bCs/>
                <w:color w:val="000000"/>
                <w:sz w:val="16"/>
                <w:szCs w:val="16"/>
                <w:lang w:eastAsia="es-CL"/>
              </w:rPr>
            </w:r>
          </w:p>
        </w:tc>
      </w:tr>
      <w:tr>
        <w:trPr>
          <w:tblHeader w:val="true"/>
        </w:trPr>
        <w:tc>
          <w:tcPr>
            <w:tcW w:w="659"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a)</w:t>
            </w:r>
          </w:p>
        </w:tc>
        <w:tc>
          <w:tcPr>
            <w:tcW w:w="2691" w:type="dxa"/>
            <w:tcBorders/>
          </w:tcPr>
          <w:p>
            <w:pPr>
              <w:pStyle w:val="Normal"/>
              <w:spacing w:lineRule="atLeast" w:line="100" w:before="0" w:after="0"/>
              <w:jc w:val="both"/>
              <w:rPr/>
            </w:pPr>
            <w:r>
              <w:rPr>
                <w:rFonts w:cs="Arial" w:ascii="Arial" w:hAnsi="Arial"/>
                <w:sz w:val="24"/>
                <w:szCs w:val="24"/>
              </w:rPr>
              <w:t xml:space="preserve">En revisión del archivador/kardex de entrega de documentos valorizados (sistema antiguo) se evidenció que existen registros escritos con lápiz grafito en las páginas 28, 29, 30 y 31. </w:t>
            </w:r>
          </w:p>
        </w:tc>
        <w:tc>
          <w:tcPr>
            <w:tcW w:w="2836" w:type="dxa"/>
            <w:tcBorders/>
          </w:tcPr>
          <w:p>
            <w:pPr>
              <w:pStyle w:val="Normal"/>
              <w:spacing w:lineRule="atLeast" w:line="100" w:before="0" w:after="0"/>
              <w:jc w:val="both"/>
              <w:rPr/>
            </w:pPr>
            <w:r>
              <w:rPr/>
            </w:r>
          </w:p>
        </w:tc>
        <w:tc>
          <w:tcPr>
            <w:tcW w:w="2836" w:type="dxa"/>
            <w:tcBorders/>
          </w:tcPr>
          <w:p>
            <w:pPr>
              <w:pStyle w:val="ListParagraph"/>
              <w:numPr>
                <w:ilvl w:val="0"/>
                <w:numId w:val="26"/>
              </w:numPr>
              <w:suppressAutoHyphens w:val="true"/>
              <w:spacing w:lineRule="atLeast" w:line="100" w:before="0" w:after="0"/>
              <w:ind w:left="459" w:hanging="459"/>
              <w:contextualSpacing/>
              <w:jc w:val="both"/>
              <w:rPr/>
            </w:pPr>
            <w:r>
              <w:rPr>
                <w:rFonts w:cs="Arial" w:ascii="Arial" w:hAnsi="Arial"/>
                <w:sz w:val="24"/>
                <w:szCs w:val="24"/>
                <w:lang w:val="es-MX"/>
              </w:rPr>
              <w:t>Se contacta a usuarios marítimos corroborando que lo documentos fueron entregados s/n dejando constancia de lo anterior con la firma del Capitán de Puerto.</w:t>
            </w:r>
          </w:p>
        </w:tc>
        <w:tc>
          <w:tcPr>
            <w:tcW w:w="3969" w:type="dxa"/>
            <w:tcBorders/>
          </w:tcPr>
          <w:p>
            <w:pPr>
              <w:pStyle w:val="ListParagraph"/>
              <w:numPr>
                <w:ilvl w:val="0"/>
                <w:numId w:val="27"/>
              </w:numPr>
              <w:spacing w:lineRule="atLeast" w:line="100" w:before="0" w:after="0"/>
              <w:ind w:left="459" w:hanging="425"/>
              <w:contextualSpacing/>
              <w:jc w:val="both"/>
              <w:rPr>
                <w:rFonts w:ascii="Arial" w:hAnsi="Arial" w:cs="Arial"/>
                <w:sz w:val="24"/>
                <w:szCs w:val="24"/>
              </w:rPr>
            </w:pPr>
            <w:r>
              <w:rPr>
                <w:rFonts w:cs="Arial" w:ascii="Arial" w:hAnsi="Arial"/>
                <w:sz w:val="24"/>
                <w:szCs w:val="24"/>
                <w:lang w:val="es-MX"/>
              </w:rPr>
              <w:t>Se contacta a usuarios marítimos corroborando que lo documentos fueron entregados sin novedad dejando constancia de lo anterior con la firma del Capitán de Puerto.</w:t>
            </w:r>
          </w:p>
          <w:p>
            <w:pPr>
              <w:pStyle w:val="ListParagraph"/>
              <w:numPr>
                <w:ilvl w:val="0"/>
                <w:numId w:val="27"/>
              </w:numPr>
              <w:spacing w:lineRule="atLeast" w:line="100" w:before="0" w:after="0"/>
              <w:ind w:left="459" w:hanging="425"/>
              <w:contextualSpacing/>
              <w:jc w:val="both"/>
              <w:rPr>
                <w:rFonts w:ascii="Arial" w:hAnsi="Arial" w:cs="Arial"/>
                <w:b/>
                <w:b/>
                <w:sz w:val="24"/>
                <w:szCs w:val="24"/>
                <w:lang w:val="es-MX"/>
              </w:rPr>
            </w:pPr>
            <w:r>
              <w:rPr>
                <w:rFonts w:cs="Arial" w:ascii="Arial" w:hAnsi="Arial"/>
                <w:sz w:val="24"/>
                <w:szCs w:val="24"/>
                <w:lang w:val="es-MX"/>
              </w:rPr>
              <w:t xml:space="preserve">Una vez verificado los antecedentes, se aprecia que lo anterior fue un error administrativo, no reflejando el normal proceso aplicado en esta Capitanía de Puerto, actualmente no se lleva el registro de forma manual, debido a que se implementó la </w:t>
            </w:r>
            <w:r>
              <w:rPr>
                <w:rFonts w:cs="Arial" w:ascii="Arial" w:hAnsi="Arial"/>
                <w:b/>
                <w:sz w:val="24"/>
                <w:szCs w:val="24"/>
                <w:lang w:val="es-MX"/>
              </w:rPr>
              <w:t>aplicación formularios valorizados WEB.</w:t>
            </w:r>
          </w:p>
          <w:p>
            <w:pPr>
              <w:pStyle w:val="ListParagraph"/>
              <w:numPr>
                <w:ilvl w:val="0"/>
                <w:numId w:val="27"/>
              </w:numPr>
              <w:spacing w:lineRule="atLeast" w:line="100" w:before="0" w:after="0"/>
              <w:ind w:left="459" w:hanging="425"/>
              <w:contextualSpacing/>
              <w:jc w:val="both"/>
              <w:rPr>
                <w:rFonts w:ascii="Arial" w:hAnsi="Arial" w:cs="Arial"/>
                <w:sz w:val="24"/>
                <w:szCs w:val="24"/>
                <w:lang w:val="es-MX"/>
              </w:rPr>
            </w:pPr>
            <w:r>
              <w:rPr>
                <w:rFonts w:cs="Arial" w:ascii="Arial" w:hAnsi="Arial"/>
                <w:sz w:val="24"/>
                <w:szCs w:val="24"/>
                <w:lang w:val="es-MX"/>
              </w:rPr>
              <w:t xml:space="preserve">No existen otras páginas en la misma situación, </w:t>
            </w:r>
          </w:p>
          <w:p>
            <w:pPr>
              <w:pStyle w:val="ListParagraph"/>
              <w:numPr>
                <w:ilvl w:val="0"/>
                <w:numId w:val="27"/>
              </w:numPr>
              <w:spacing w:lineRule="atLeast" w:line="100" w:before="0" w:after="0"/>
              <w:ind w:left="459" w:hanging="425"/>
              <w:contextualSpacing/>
              <w:jc w:val="both"/>
              <w:rPr/>
            </w:pPr>
            <w:r>
              <w:rPr>
                <w:rFonts w:cs="Arial" w:ascii="Arial" w:hAnsi="Arial"/>
                <w:sz w:val="24"/>
                <w:szCs w:val="24"/>
                <w:lang w:val="es-MX"/>
              </w:rPr>
              <w:t xml:space="preserve">Se remitió lo solicitado al correo </w:t>
            </w:r>
            <w:hyperlink r:id="rId12">
              <w:r>
                <w:rPr>
                  <w:rStyle w:val="EnlacedeInternet"/>
                  <w:rFonts w:cs="Arial" w:ascii="Arial" w:hAnsi="Arial"/>
                  <w:color w:val="auto"/>
                  <w:sz w:val="24"/>
                  <w:szCs w:val="24"/>
                </w:rPr>
                <w:t>ccruzat@dgtm.cl</w:t>
              </w:r>
            </w:hyperlink>
            <w:r>
              <w:rPr>
                <w:rStyle w:val="EnlacedeInternet"/>
                <w:rFonts w:cs="Arial" w:ascii="Arial" w:hAnsi="Arial"/>
                <w:color w:val="auto"/>
                <w:sz w:val="24"/>
                <w:szCs w:val="24"/>
              </w:rPr>
              <w:t>.</w:t>
            </w:r>
          </w:p>
        </w:tc>
        <w:tc>
          <w:tcPr>
            <w:tcW w:w="2693"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82"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tbl>
      <w:tblPr>
        <w:tblStyle w:val="Tablaconcuadrcula"/>
        <w:tblW w:w="17745" w:type="dxa"/>
        <w:jc w:val="center"/>
        <w:tblInd w:w="0" w:type="dxa"/>
        <w:tblCellMar>
          <w:top w:w="0" w:type="dxa"/>
          <w:left w:w="108" w:type="dxa"/>
          <w:bottom w:w="0" w:type="dxa"/>
          <w:right w:w="108" w:type="dxa"/>
        </w:tblCellMar>
        <w:tblLook w:firstRow="1" w:noVBand="1" w:lastRow="0" w:firstColumn="1" w:lastColumn="0" w:noHBand="0" w:val="04a0"/>
      </w:tblPr>
      <w:tblGrid>
        <w:gridCol w:w="606"/>
        <w:gridCol w:w="2735"/>
        <w:gridCol w:w="2834"/>
        <w:gridCol w:w="2835"/>
        <w:gridCol w:w="3970"/>
        <w:gridCol w:w="2692"/>
        <w:gridCol w:w="2072"/>
      </w:tblGrid>
      <w:tr>
        <w:trPr>
          <w:tblHeader w:val="true"/>
        </w:trPr>
        <w:tc>
          <w:tcPr>
            <w:tcW w:w="606" w:type="dxa"/>
            <w:tcBorders/>
            <w:vAlign w:val="center"/>
          </w:tcPr>
          <w:p>
            <w:pPr>
              <w:pStyle w:val="Normal"/>
              <w:spacing w:lineRule="auto" w:line="240" w:before="0" w:after="0"/>
              <w:ind w:left="-113" w:right="-108" w:hanging="0"/>
              <w:jc w:val="center"/>
              <w:rPr>
                <w:rFonts w:ascii="Arial" w:hAnsi="Arial" w:cs="Arial"/>
                <w:b/>
                <w:b/>
                <w:sz w:val="24"/>
                <w:szCs w:val="24"/>
                <w:lang w:val="es-MX"/>
              </w:rPr>
            </w:pPr>
            <w:r>
              <w:rPr>
                <w:rFonts w:cs="Arial" w:ascii="Arial" w:hAnsi="Arial"/>
                <w:b/>
                <w:sz w:val="24"/>
                <w:szCs w:val="24"/>
                <w:lang w:val="es-MX"/>
              </w:rPr>
              <w:t>N°</w:t>
            </w:r>
          </w:p>
        </w:tc>
        <w:tc>
          <w:tcPr>
            <w:tcW w:w="27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OBSERVACIÓN</w:t>
            </w:r>
          </w:p>
        </w:tc>
        <w:tc>
          <w:tcPr>
            <w:tcW w:w="2834"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IMPLICANCIA NORMATIVA</w:t>
            </w:r>
          </w:p>
        </w:tc>
        <w:tc>
          <w:tcPr>
            <w:tcW w:w="2835"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ACCIÓN A SEGUIR</w:t>
            </w:r>
          </w:p>
        </w:tc>
        <w:tc>
          <w:tcPr>
            <w:tcW w:w="3970"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w:t>
            </w:r>
          </w:p>
        </w:tc>
        <w:tc>
          <w:tcPr>
            <w:tcW w:w="2692"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RESOLUCIÓN A LAS RESPUESTAS DEL ORGANISMO INSPECCIONADO</w:t>
            </w:r>
          </w:p>
        </w:tc>
        <w:tc>
          <w:tcPr>
            <w:tcW w:w="207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RESPUESTA MARITGOBAYS</w:t>
            </w:r>
          </w:p>
        </w:tc>
      </w:tr>
      <w:tr>
        <w:trPr>
          <w:tblHeader w:val="true"/>
          <w:trHeight w:val="580" w:hRule="atLeast"/>
        </w:trPr>
        <w:tc>
          <w:tcPr>
            <w:tcW w:w="606" w:type="dxa"/>
            <w:tcBorders/>
          </w:tcPr>
          <w:p>
            <w:pPr>
              <w:pStyle w:val="Normal"/>
              <w:spacing w:lineRule="auto" w:line="240" w:before="0" w:after="0"/>
              <w:ind w:left="-113" w:right="-108" w:hanging="0"/>
              <w:jc w:val="center"/>
              <w:rPr>
                <w:rFonts w:ascii="Arial" w:hAnsi="Arial" w:cs="Arial"/>
                <w:sz w:val="24"/>
                <w:szCs w:val="24"/>
                <w:lang w:val="es-MX"/>
              </w:rPr>
            </w:pPr>
            <w:r>
              <w:rPr>
                <w:rFonts w:cs="Arial" w:ascii="Arial" w:hAnsi="Arial"/>
                <w:sz w:val="24"/>
                <w:szCs w:val="24"/>
                <w:lang w:val="es-MX"/>
              </w:rPr>
              <w:t>b)</w:t>
            </w:r>
          </w:p>
        </w:tc>
        <w:tc>
          <w:tcPr>
            <w:tcW w:w="2735" w:type="dxa"/>
            <w:tcBorders/>
          </w:tcPr>
          <w:p>
            <w:pPr>
              <w:pStyle w:val="Normal"/>
              <w:spacing w:lineRule="atLeast" w:line="100" w:before="0" w:after="0"/>
              <w:jc w:val="both"/>
              <w:rPr/>
            </w:pPr>
            <w:r>
              <w:rPr>
                <w:rFonts w:cs="Arial" w:ascii="Arial" w:hAnsi="Arial"/>
                <w:sz w:val="24"/>
                <w:szCs w:val="24"/>
                <w:lang w:val="es-MX"/>
              </w:rPr>
              <w:t>Se evidenció que no se mantiene actualizado el registro de Empresas de Muellaje y el Registro de Representantes Legales.</w:t>
            </w:r>
          </w:p>
        </w:tc>
        <w:tc>
          <w:tcPr>
            <w:tcW w:w="2834" w:type="dxa"/>
            <w:tcBorders/>
          </w:tcPr>
          <w:p>
            <w:pPr>
              <w:pStyle w:val="Normal"/>
              <w:spacing w:lineRule="atLeast" w:line="100" w:before="0" w:after="0"/>
              <w:jc w:val="both"/>
              <w:rPr/>
            </w:pPr>
            <w:r>
              <w:rPr>
                <w:rFonts w:cs="Arial" w:ascii="Arial" w:hAnsi="Arial"/>
                <w:sz w:val="24"/>
                <w:szCs w:val="24"/>
                <w:lang w:val="es-MX"/>
              </w:rPr>
              <w:t>Decreto N° 48, de fecha 27 de febrero de 1986, Aprueba Reglamento sobre trabajo portuario, art. 3°.</w:t>
            </w:r>
          </w:p>
        </w:tc>
        <w:tc>
          <w:tcPr>
            <w:tcW w:w="2835" w:type="dxa"/>
            <w:tcBorders/>
            <w:shd w:color="auto" w:fill="auto" w:val="clear"/>
          </w:tcPr>
          <w:p>
            <w:pPr>
              <w:pStyle w:val="Normal"/>
              <w:spacing w:lineRule="atLeast" w:line="100" w:before="0" w:after="0"/>
              <w:jc w:val="both"/>
              <w:rPr/>
            </w:pPr>
            <w:r>
              <w:rPr>
                <w:rFonts w:cs="Arial" w:ascii="Arial" w:hAnsi="Arial"/>
                <w:sz w:val="24"/>
                <w:szCs w:val="24"/>
                <w:lang w:val="es-MX"/>
              </w:rPr>
              <w:t xml:space="preserve">Revisar dicho registros, objeto actualizar el estatus de la 2 Empresas de muellaje que se encuentran controladas en esa CAPUERTO, verificando si cumplen con los requisitos para mantener su vigencia; remitiendo copia de las páginas del libro que fueron actualizadas al email </w:t>
            </w:r>
            <w:hyperlink r:id="rId13">
              <w:r>
                <w:rPr>
                  <w:rStyle w:val="EnlacedeInternet"/>
                  <w:rFonts w:cs="Arial" w:ascii="Arial" w:hAnsi="Arial"/>
                  <w:sz w:val="24"/>
                  <w:szCs w:val="24"/>
                  <w:lang w:val="es-MX"/>
                </w:rPr>
                <w:t>ccruzat@dgtm.cl</w:t>
              </w:r>
            </w:hyperlink>
            <w:r>
              <w:rPr>
                <w:rFonts w:cs="Arial" w:ascii="Arial" w:hAnsi="Arial"/>
                <w:sz w:val="24"/>
                <w:szCs w:val="24"/>
                <w:lang w:val="es-MX"/>
              </w:rPr>
              <w:t>.</w:t>
            </w:r>
            <w:r>
              <w:rPr>
                <w:rFonts w:cs="Arial" w:ascii="Arial" w:hAnsi="Arial"/>
                <w:color w:val="FF0000"/>
                <w:sz w:val="24"/>
                <w:szCs w:val="24"/>
                <w:lang w:val="es-MX"/>
              </w:rPr>
              <w:t xml:space="preserve"> </w:t>
            </w:r>
          </w:p>
        </w:tc>
        <w:tc>
          <w:tcPr>
            <w:tcW w:w="3970" w:type="dxa"/>
            <w:tcBorders/>
          </w:tcPr>
          <w:p>
            <w:pPr>
              <w:pStyle w:val="Normal"/>
              <w:spacing w:lineRule="atLeast" w:line="100" w:before="0" w:after="0"/>
              <w:jc w:val="both"/>
              <w:rPr>
                <w:rFonts w:ascii="Arial" w:hAnsi="Arial" w:cs="Arial"/>
                <w:sz w:val="24"/>
                <w:szCs w:val="24"/>
              </w:rPr>
            </w:pPr>
            <w:r>
              <w:rPr>
                <w:rFonts w:cs="Arial" w:ascii="Arial" w:hAnsi="Arial"/>
                <w:sz w:val="24"/>
                <w:szCs w:val="24"/>
              </w:rPr>
              <w:t>Con fecha 18 de mayo  de 2021, la Empresa de muellaje “José Rigoberto Cárdenas Torres,  actualiza sus antecedentes  y pasa vigencia, según OO.II. 21720081421, quedando vigente hasta marzo del año 2022.</w:t>
            </w:r>
          </w:p>
          <w:p>
            <w:pPr>
              <w:pStyle w:val="Normal"/>
              <w:spacing w:lineRule="atLeast" w:line="100" w:before="0" w:after="0"/>
              <w:jc w:val="both"/>
              <w:rPr>
                <w:rFonts w:ascii="Arial" w:hAnsi="Arial" w:cs="Arial"/>
                <w:sz w:val="10"/>
                <w:szCs w:val="10"/>
              </w:rPr>
            </w:pPr>
            <w:r>
              <w:rPr>
                <w:rFonts w:cs="Arial" w:ascii="Arial" w:hAnsi="Arial"/>
                <w:sz w:val="10"/>
                <w:szCs w:val="10"/>
              </w:rPr>
            </w:r>
          </w:p>
          <w:p>
            <w:pPr>
              <w:pStyle w:val="Normal"/>
              <w:spacing w:lineRule="atLeast" w:line="100" w:before="0" w:after="0"/>
              <w:jc w:val="both"/>
              <w:rPr>
                <w:rFonts w:ascii="Arial" w:hAnsi="Arial" w:cs="Arial"/>
                <w:sz w:val="24"/>
                <w:szCs w:val="24"/>
              </w:rPr>
            </w:pPr>
            <w:r>
              <w:rPr>
                <w:rFonts w:cs="Arial" w:ascii="Arial" w:hAnsi="Arial"/>
                <w:sz w:val="24"/>
                <w:szCs w:val="24"/>
              </w:rPr>
              <w:t>Con fecha 23 de Junio de 2021, se toma contacto con la Sra. Hilsia TRAILLANCA González, Propietaria empresa de muellaje del mismo nombre, donde  se le entrega en forma presencial los  antecedentes para pasar vigencia y actualizar libro de registro de agentes de naves y de estiba de esta Capitanía de Puerto.</w:t>
            </w:r>
          </w:p>
          <w:p>
            <w:pPr>
              <w:pStyle w:val="Normal"/>
              <w:spacing w:lineRule="atLeast" w:line="100" w:before="0" w:after="0"/>
              <w:jc w:val="both"/>
              <w:rPr>
                <w:rFonts w:ascii="Arial" w:hAnsi="Arial" w:cs="Arial"/>
                <w:sz w:val="10"/>
                <w:szCs w:val="10"/>
              </w:rPr>
            </w:pPr>
            <w:r>
              <w:rPr>
                <w:rFonts w:cs="Arial" w:ascii="Arial" w:hAnsi="Arial"/>
                <w:sz w:val="10"/>
                <w:szCs w:val="10"/>
              </w:rPr>
            </w:r>
          </w:p>
          <w:p>
            <w:pPr>
              <w:pStyle w:val="Normal"/>
              <w:spacing w:lineRule="atLeast" w:line="100" w:before="0" w:after="0"/>
              <w:jc w:val="both"/>
              <w:rPr>
                <w:color w:val="FF0000"/>
              </w:rPr>
            </w:pPr>
            <w:r>
              <w:rPr>
                <w:rFonts w:cs="Arial" w:ascii="Arial" w:hAnsi="Arial"/>
                <w:sz w:val="24"/>
                <w:szCs w:val="24"/>
              </w:rPr>
              <w:t xml:space="preserve">Se envía por  correo electrónico las páginas corregidas </w:t>
            </w:r>
            <w:hyperlink r:id="rId14">
              <w:r>
                <w:rPr>
                  <w:rStyle w:val="EnlacedeInternet"/>
                  <w:rFonts w:cs="Arial" w:ascii="Arial" w:hAnsi="Arial"/>
                  <w:color w:val="auto"/>
                  <w:sz w:val="24"/>
                  <w:szCs w:val="24"/>
                  <w:lang w:val="es-MX"/>
                </w:rPr>
                <w:t>ccruzat@dgtm.cl</w:t>
              </w:r>
            </w:hyperlink>
            <w:r>
              <w:rPr>
                <w:rFonts w:cs="Arial" w:ascii="Arial" w:hAnsi="Arial"/>
                <w:color w:val="FF0000"/>
                <w:sz w:val="24"/>
                <w:szCs w:val="24"/>
                <w:lang w:val="es-MX"/>
              </w:rPr>
              <w:t>.</w:t>
            </w:r>
          </w:p>
        </w:tc>
        <w:tc>
          <w:tcPr>
            <w:tcW w:w="2692" w:type="dxa"/>
            <w:tcBorders/>
            <w:vAlign w:val="center"/>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t>SUPERADA</w:t>
            </w:r>
          </w:p>
        </w:tc>
        <w:tc>
          <w:tcPr>
            <w:tcW w:w="2072" w:type="dxa"/>
            <w:tcBorders/>
          </w:tcPr>
          <w:p>
            <w:pPr>
              <w:pStyle w:val="Normal"/>
              <w:spacing w:lineRule="auto" w:line="240" w:before="0" w:after="0"/>
              <w:jc w:val="center"/>
              <w:rPr>
                <w:rFonts w:ascii="Arial" w:hAnsi="Arial" w:cs="Arial"/>
                <w:b/>
                <w:b/>
                <w:sz w:val="24"/>
                <w:szCs w:val="24"/>
                <w:lang w:val="es-MX"/>
              </w:rPr>
            </w:pPr>
            <w:r>
              <w:rPr>
                <w:rFonts w:cs="Arial" w:ascii="Arial" w:hAnsi="Arial"/>
                <w:b/>
                <w:sz w:val="24"/>
                <w:szCs w:val="24"/>
                <w:lang w:val="es-MX"/>
              </w:rPr>
            </w:r>
          </w:p>
        </w:tc>
      </w:tr>
    </w:tbl>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widowControl w:val="false"/>
        <w:spacing w:lineRule="auto" w:line="240" w:before="0" w:after="0"/>
        <w:rPr>
          <w:rFonts w:ascii="Arial" w:hAnsi="Arial" w:cs="Arial"/>
          <w:sz w:val="24"/>
          <w:szCs w:val="24"/>
        </w:rPr>
      </w:pPr>
      <w:r>
        <w:rPr>
          <w:rFonts w:cs="Arial" w:ascii="Arial" w:hAnsi="Arial"/>
          <w:sz w:val="24"/>
          <w:szCs w:val="24"/>
        </w:rPr>
        <w:t>PUERTO AYSÉN, 20 DE DICIEMBRE DE 2021.</w:t>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tab/>
        <w:tab/>
        <w:tab/>
        <w:tab/>
        <w:tab/>
        <w:tab/>
        <w:tab/>
        <w:tab/>
        <w:tab/>
        <w:tab/>
        <w:tab/>
        <w:tab/>
        <w:tab/>
        <w:tab/>
        <w:t xml:space="preserve">       </w:t>
      </w:r>
      <w:bookmarkStart w:id="0" w:name="_GoBack"/>
      <w:bookmarkEnd w:id="0"/>
      <w:r>
        <w:rPr>
          <w:rFonts w:cs="Arial" w:ascii="Arial" w:hAnsi="Arial"/>
          <w:sz w:val="24"/>
          <w:szCs w:val="24"/>
        </w:rPr>
        <w:t>FIRMADO</w:t>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rPr>
          <w:rFonts w:ascii="Arial" w:hAnsi="Arial" w:cs="Arial"/>
          <w:sz w:val="24"/>
          <w:szCs w:val="24"/>
        </w:rPr>
      </w:pPr>
      <w:r>
        <w:rPr>
          <w:rFonts w:cs="Arial" w:ascii="Arial" w:hAnsi="Arial"/>
          <w:sz w:val="24"/>
          <w:szCs w:val="24"/>
        </w:rPr>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FELIPE ZAMBRANO IRRIBARRA</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CAPITÁN DE CORBETA LT</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GOBERNADOR MARÍTIMO DE AYSÉN</w:t>
      </w:r>
    </w:p>
    <w:p>
      <w:pPr>
        <w:pStyle w:val="Normal"/>
        <w:widowControl w:val="false"/>
        <w:spacing w:lineRule="auto" w:line="240" w:before="0" w:after="0"/>
        <w:ind w:left="4424" w:firstLine="532"/>
        <w:jc w:val="center"/>
        <w:rPr>
          <w:rFonts w:ascii="Arial" w:hAnsi="Arial" w:cs="Arial"/>
          <w:b/>
          <w:b/>
          <w:sz w:val="24"/>
          <w:szCs w:val="24"/>
        </w:rPr>
      </w:pPr>
      <w:r>
        <w:rPr>
          <w:rFonts w:cs="Arial" w:ascii="Arial" w:hAnsi="Arial"/>
          <w:b/>
          <w:sz w:val="24"/>
          <w:szCs w:val="24"/>
        </w:rPr>
        <w:t>SUPLENTE</w:t>
      </w:r>
    </w:p>
    <w:p>
      <w:pPr>
        <w:pStyle w:val="Normal"/>
        <w:pBdr/>
        <w:spacing w:lineRule="auto" w:line="240" w:before="0" w:after="0"/>
        <w:rPr>
          <w:rFonts w:ascii="Arial" w:hAnsi="Arial" w:eastAsia="Arial" w:cs="Arial"/>
          <w:b/>
          <w:b/>
          <w:sz w:val="24"/>
          <w:szCs w:val="24"/>
        </w:rPr>
      </w:pPr>
      <w:r>
        <w:rPr>
          <w:rFonts w:eastAsia="Arial" w:cs="Arial" w:ascii="Arial" w:hAnsi="Arial"/>
          <w:b/>
          <w:sz w:val="24"/>
          <w:szCs w:val="24"/>
          <w:u w:val="single"/>
        </w:rPr>
        <w:t>DISTRIBUCIÓN</w:t>
      </w:r>
      <w:r>
        <w:rPr>
          <w:rFonts w:eastAsia="Arial" w:cs="Arial" w:ascii="Arial" w:hAnsi="Arial"/>
          <w:b/>
          <w:sz w:val="24"/>
          <w:szCs w:val="24"/>
        </w:rPr>
        <w:t>:</w:t>
      </w:r>
    </w:p>
    <w:p>
      <w:pPr>
        <w:pStyle w:val="Normal"/>
        <w:pBdr/>
        <w:spacing w:lineRule="auto" w:line="240" w:before="0" w:after="0"/>
        <w:rPr>
          <w:rFonts w:ascii="Arial" w:hAnsi="Arial" w:eastAsia="Arial" w:cs="Arial"/>
          <w:sz w:val="24"/>
          <w:szCs w:val="24"/>
          <w:highlight w:val="white"/>
        </w:rPr>
      </w:pPr>
      <w:r>
        <w:rPr>
          <w:rFonts w:eastAsia="Arial" w:cs="Arial" w:ascii="Arial" w:hAnsi="Arial"/>
          <w:sz w:val="24"/>
          <w:szCs w:val="24"/>
        </w:rPr>
        <w:t>Misma Docto. Básico.</w:t>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before="0" w:after="0"/>
        <w:jc w:val="center"/>
        <w:rPr>
          <w:rFonts w:ascii="Arial" w:hAnsi="Arial" w:cs="Arial"/>
          <w:b/>
          <w:b/>
          <w:sz w:val="24"/>
          <w:szCs w:val="24"/>
          <w:u w:val="single"/>
          <w:lang w:val="es-MX"/>
        </w:rPr>
      </w:pPr>
      <w:r>
        <w:rPr>
          <w:rFonts w:cs="Arial" w:ascii="Arial" w:hAnsi="Arial"/>
          <w:b/>
          <w:sz w:val="24"/>
          <w:szCs w:val="24"/>
          <w:u w:val="single"/>
          <w:lang w:val="es-MX"/>
        </w:rPr>
      </w:r>
    </w:p>
    <w:p>
      <w:pPr>
        <w:pStyle w:val="Normal"/>
        <w:spacing w:lineRule="auto" w:line="240" w:before="0" w:after="0"/>
        <w:rPr>
          <w:rFonts w:ascii="Arial" w:hAnsi="Arial" w:cs="Arial"/>
          <w:b/>
          <w:b/>
          <w:sz w:val="24"/>
          <w:szCs w:val="24"/>
          <w:u w:val="single"/>
          <w:lang w:val="es-MX"/>
        </w:rPr>
      </w:pPr>
      <w:r>
        <w:rPr>
          <w:rFonts w:cs="Arial" w:ascii="Arial" w:hAnsi="Arial"/>
          <w:sz w:val="24"/>
          <w:szCs w:val="24"/>
        </w:rPr>
        <w:tab/>
        <w:tab/>
        <w:tab/>
        <w:tab/>
      </w:r>
    </w:p>
    <w:sectPr>
      <w:headerReference w:type="default" r:id="rId15"/>
      <w:headerReference w:type="first" r:id="rId16"/>
      <w:type w:val="nextPage"/>
      <w:pgSz w:orient="landscape" w:w="18720" w:h="12240"/>
      <w:pgMar w:left="851" w:right="851" w:header="709" w:top="851" w:footer="0" w:bottom="28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 w:name="Liberation Sans">
    <w:altName w:val="Arial"/>
    <w:charset w:val="00"/>
    <w:family w:val="swiss"/>
    <w:pitch w:val="variable"/>
  </w:font>
  <w:font w:name="Arial Unicode MS">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2054659701"/>
    </w:sdtPr>
    <w:sdtContent>
      <w:p>
        <w:pPr>
          <w:pStyle w:val="Cabecera"/>
          <w:rPr>
            <w:rFonts w:ascii="Arial" w:hAnsi="Arial" w:cs="Arial"/>
            <w:sz w:val="24"/>
            <w:szCs w:val="24"/>
          </w:rPr>
        </w:pPr>
        <w:r>
          <w:rPr>
            <w:rFonts w:cs="Arial" w:ascii="Arial" w:hAnsi="Arial"/>
            <w:sz w:val="24"/>
            <w:szCs w:val="24"/>
          </w:rPr>
          <w:t xml:space="preserve">G.M.AYS. ORDINARIO 10510/1372/ D.G.T.M. Y M.M.                                                                                              </w:t>
          <w:tab/>
          <w:t xml:space="preserve">                                                       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24</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“D”</w:t>
        </w:r>
      </w:p>
      <w:p>
        <w:pPr>
          <w:pStyle w:val="Cabecera"/>
          <w:rPr>
            <w:rFonts w:ascii="Arial" w:hAnsi="Arial" w:cs="Arial"/>
            <w:sz w:val="24"/>
            <w:szCs w:val="24"/>
          </w:rPr>
        </w:pPr>
        <w:r>
          <w:rPr>
            <w:rFonts w:cs="Arial" w:ascii="Arial" w:hAnsi="Arial"/>
            <w:sz w:val="24"/>
            <w:szCs w:val="24"/>
          </w:rPr>
          <w:t>FECHA: 20 DIC. 2021</w:t>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315599309"/>
    </w:sdtPr>
    <w:sdtContent>
      <w:p>
        <w:pPr>
          <w:pStyle w:val="Cabecera"/>
          <w:rPr>
            <w:rFonts w:ascii="Arial" w:hAnsi="Arial" w:cs="Arial"/>
            <w:sz w:val="24"/>
            <w:szCs w:val="24"/>
          </w:rPr>
        </w:pPr>
        <w:r>
          <w:rPr>
            <w:rFonts w:cs="Arial" w:ascii="Arial" w:hAnsi="Arial"/>
            <w:sz w:val="24"/>
            <w:szCs w:val="24"/>
          </w:rPr>
          <w:t xml:space="preserve">G.MAYS. ORDINARIO N° 10510/1372/  D.G.T.M. Y M.M.                                                         </w:t>
          <w:tab/>
          <w:t xml:space="preserve">                                                                                        HOJA N° </w:t>
        </w:r>
        <w:r>
          <w:rPr>
            <w:rFonts w:cs="Arial" w:ascii="Arial" w:hAnsi="Arial"/>
            <w:sz w:val="24"/>
            <w:szCs w:val="24"/>
          </w:rPr>
          <w:fldChar w:fldCharType="begin"/>
        </w:r>
        <w:r>
          <w:rPr>
            <w:sz w:val="24"/>
            <w:szCs w:val="24"/>
            <w:rFonts w:cs="Arial" w:ascii="Arial" w:hAnsi="Arial"/>
          </w:rPr>
          <w:instrText> PAGE </w:instrText>
        </w:r>
        <w:r>
          <w:rPr>
            <w:sz w:val="24"/>
            <w:szCs w:val="24"/>
            <w:rFonts w:cs="Arial" w:ascii="Arial" w:hAnsi="Arial"/>
          </w:rPr>
          <w:fldChar w:fldCharType="separate"/>
        </w:r>
        <w:r>
          <w:rPr>
            <w:sz w:val="24"/>
            <w:szCs w:val="24"/>
            <w:rFonts w:cs="Arial" w:ascii="Arial" w:hAnsi="Arial"/>
          </w:rPr>
          <w:t>1</w:t>
        </w:r>
        <w:r>
          <w:rPr>
            <w:sz w:val="24"/>
            <w:szCs w:val="24"/>
            <w:rFonts w:cs="Arial" w:ascii="Arial" w:hAnsi="Arial"/>
          </w:rPr>
          <w:fldChar w:fldCharType="end"/>
        </w:r>
      </w:p>
      <w:p>
        <w:pPr>
          <w:pStyle w:val="Cabecera"/>
          <w:rPr>
            <w:rFonts w:ascii="Arial" w:hAnsi="Arial" w:cs="Arial"/>
            <w:sz w:val="24"/>
            <w:szCs w:val="24"/>
          </w:rPr>
        </w:pPr>
        <w:r>
          <w:rPr>
            <w:rFonts w:cs="Arial" w:ascii="Arial" w:hAnsi="Arial"/>
            <w:sz w:val="24"/>
            <w:szCs w:val="24"/>
          </w:rPr>
          <w:t>ANEXO “D”</w:t>
        </w:r>
      </w:p>
      <w:p>
        <w:pPr>
          <w:pStyle w:val="Cabecera"/>
          <w:rPr>
            <w:rFonts w:ascii="Arial" w:hAnsi="Arial" w:cs="Arial"/>
            <w:sz w:val="24"/>
            <w:szCs w:val="24"/>
          </w:rPr>
        </w:pPr>
        <w:r>
          <w:rPr>
            <w:rFonts w:cs="Arial" w:ascii="Arial" w:hAnsi="Arial"/>
            <w:sz w:val="24"/>
            <w:szCs w:val="24"/>
          </w:rPr>
          <w:t>FECHA: 20 DIC. 2021</w:t>
        </w:r>
      </w:p>
    </w:sdtContent>
  </w:sdt>
  <w:p>
    <w:pPr>
      <w:pStyle w:val="Cabecera"/>
      <w:rPr>
        <w:lang w:val="es-MX"/>
      </w:rPr>
    </w:pPr>
    <w:r>
      <w:rPr>
        <w:lang w:val="es-MX"/>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b w:val="false"/>
      </w:rPr>
    </w:lvl>
    <w:lvl w:ilvl="1">
      <w:start w:val="1"/>
      <w:numFmt w:val="lowerLetter"/>
      <w:lvlText w:val="%2."/>
      <w:lvlJc w:val="left"/>
      <w:pPr>
        <w:ind w:left="1440" w:hanging="360"/>
      </w:pPr>
      <w:rPr>
        <w:b w:val="false"/>
      </w:rPr>
    </w:lvl>
    <w:lvl w:ilvl="2">
      <w:start w:val="1"/>
      <w:numFmt w:val="lowerLetter"/>
      <w:lvlText w:val="%3)"/>
      <w:lvlJc w:val="left"/>
      <w:pPr>
        <w:ind w:left="2340" w:hanging="360"/>
      </w:pPr>
      <w:rPr>
        <w:b w:val="false"/>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720"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lvl w:ilvl="0">
      <w:start w:val="1"/>
      <w:numFmt w:val="lowerLetter"/>
      <w:lvlText w:val="%1.-"/>
      <w:lvlJc w:val="left"/>
      <w:pPr>
        <w:ind w:left="720" w:hanging="360"/>
      </w:pPr>
      <w:rPr>
        <w:sz w:val="24"/>
        <w:szCs w:val="24"/>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3"/>
      <w:numFmt w:val="lowerLetter"/>
      <w:lvlText w:val="%1.-"/>
      <w:lvlJc w:val="left"/>
      <w:pPr>
        <w:ind w:left="720" w:hanging="360"/>
      </w:pPr>
      <w:rPr>
        <w:smallCaps w:val="false"/>
        <w:caps w:val="false"/>
        <w:dstrike w:val="false"/>
        <w:strike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756" w:hanging="360"/>
      </w:pPr>
    </w:lvl>
    <w:lvl w:ilvl="1">
      <w:start w:val="1"/>
      <w:numFmt w:val="lowerLetter"/>
      <w:lvlText w:val="%2."/>
      <w:lvlJc w:val="left"/>
      <w:pPr>
        <w:ind w:left="1476" w:hanging="360"/>
      </w:pPr>
    </w:lvl>
    <w:lvl w:ilvl="2">
      <w:start w:val="1"/>
      <w:numFmt w:val="lowerRoman"/>
      <w:lvlText w:val="%3."/>
      <w:lvlJc w:val="right"/>
      <w:pPr>
        <w:ind w:left="2196" w:hanging="180"/>
      </w:pPr>
    </w:lvl>
    <w:lvl w:ilvl="3">
      <w:start w:val="1"/>
      <w:numFmt w:val="decimal"/>
      <w:lvlText w:val="%4."/>
      <w:lvlJc w:val="left"/>
      <w:pPr>
        <w:ind w:left="2916" w:hanging="360"/>
      </w:pPr>
    </w:lvl>
    <w:lvl w:ilvl="4">
      <w:start w:val="1"/>
      <w:numFmt w:val="lowerLetter"/>
      <w:lvlText w:val="%5."/>
      <w:lvlJc w:val="left"/>
      <w:pPr>
        <w:ind w:left="3636" w:hanging="360"/>
      </w:pPr>
    </w:lvl>
    <w:lvl w:ilvl="5">
      <w:start w:val="1"/>
      <w:numFmt w:val="lowerRoman"/>
      <w:lvlText w:val="%6."/>
      <w:lvlJc w:val="right"/>
      <w:pPr>
        <w:ind w:left="4356" w:hanging="180"/>
      </w:pPr>
    </w:lvl>
    <w:lvl w:ilvl="6">
      <w:start w:val="1"/>
      <w:numFmt w:val="decimal"/>
      <w:lvlText w:val="%7."/>
      <w:lvlJc w:val="left"/>
      <w:pPr>
        <w:ind w:left="5076" w:hanging="360"/>
      </w:pPr>
    </w:lvl>
    <w:lvl w:ilvl="7">
      <w:start w:val="1"/>
      <w:numFmt w:val="lowerLetter"/>
      <w:lvlText w:val="%8."/>
      <w:lvlJc w:val="left"/>
      <w:pPr>
        <w:ind w:left="5796" w:hanging="360"/>
      </w:pPr>
    </w:lvl>
    <w:lvl w:ilvl="8">
      <w:start w:val="1"/>
      <w:numFmt w:val="lowerRoman"/>
      <w:lvlText w:val="%9."/>
      <w:lvlJc w:val="right"/>
      <w:pPr>
        <w:ind w:left="6516" w:hanging="180"/>
      </w:pPr>
    </w:lvl>
  </w:abstractNum>
  <w:abstractNum w:abstractNumI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lvl w:ilvl="0">
      <w:start w:val="1"/>
      <w:numFmt w:val="lowerLetter"/>
      <w:lvlText w:val="%1.-"/>
      <w:lvlJc w:val="left"/>
      <w:pPr>
        <w:ind w:left="720"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1"/>
      <w:numFmt w:val="lowerLetter"/>
      <w:lvlText w:val="%1.-"/>
      <w:lvlJc w:val="left"/>
      <w:pPr>
        <w:ind w:left="1080" w:hanging="360"/>
      </w:pPr>
      <w:rPr>
        <w:b w:val="false"/>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lvl w:ilvl="0">
      <w:start w:val="1"/>
      <w:numFmt w:val="low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lvl w:ilvl="0">
      <w:start w:val="1"/>
      <w:numFmt w:val="lowerLetter"/>
      <w:lvlText w:val="%1.-"/>
      <w:lvlJc w:val="left"/>
      <w:pPr>
        <w:ind w:left="720" w:hanging="360"/>
      </w:pPr>
      <w:rPr>
        <w:smallCaps w:val="false"/>
        <w:caps w:val="false"/>
        <w:sz w:val="24"/>
        <w:spacing w:val="0"/>
        <w:i w:val="false"/>
        <w:b w:val="false"/>
        <w:szCs w:val="24"/>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lvl w:ilvl="0">
      <w:start w:val="1"/>
      <w:numFmt w:val="lowerLetter"/>
      <w:lvlText w:val="%1.-"/>
      <w:lvlJc w:val="left"/>
      <w:pPr>
        <w:ind w:left="720" w:hanging="360"/>
      </w:pPr>
      <w:rPr>
        <w:smallCaps w:val="false"/>
        <w:caps w:val="false"/>
        <w:sz w:val="24"/>
        <w:spacing w:val="0"/>
        <w:i w:val="false"/>
        <w:b w:val="false"/>
        <w:szCs w:val="24"/>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rPr>
        <w:smallCaps w:val="false"/>
        <w:caps w:val="false"/>
        <w:sz w:val="24"/>
        <w:spacing w:val="0"/>
        <w:i w:val="false"/>
        <w:b w:val="false"/>
        <w:szCs w:val="24"/>
        <w:rFonts w:eastAsia="Times New Roman" w:cs="Arial"/>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lvl w:ilvl="0">
      <w:start w:val="1"/>
      <w:numFmt w:val="lowerLetter"/>
      <w:lvlText w:val="%1.-"/>
      <w:lvlJc w:val="left"/>
      <w:pPr>
        <w:ind w:left="502"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lvl w:ilvl="0">
      <w:start w:val="1"/>
      <w:numFmt w:val="lowerLetter"/>
      <w:lvlText w:val="%1.-"/>
      <w:lvlJc w:val="left"/>
      <w:pPr>
        <w:ind w:left="502" w:hanging="360"/>
      </w:pPr>
      <w:rPr>
        <w:sz w:val="24"/>
        <w:szCs w:val="24"/>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lvl w:ilvl="0">
      <w:start w:val="1"/>
      <w:numFmt w:val="lowerLetter"/>
      <w:lvlText w:val="%1.-"/>
      <w:lvlJc w:val="left"/>
      <w:pPr>
        <w:ind w:left="180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lvl w:ilvl="0">
      <w:start w:val="1"/>
      <w:numFmt w:val="lowerLetter"/>
      <w:lvlText w:val="%1.-"/>
      <w:lvlJc w:val="left"/>
      <w:pPr>
        <w:ind w:left="720" w:hanging="360"/>
      </w:pPr>
      <w:rPr>
        <w:b w:val="fals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lvl w:ilvl="0">
      <w:start w:val="2"/>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lvl w:ilvl="0">
      <w:start w:val="1"/>
      <w:numFmt w:val="lowerLetter"/>
      <w:lvlText w:val="%1.-"/>
      <w:lvlJc w:val="left"/>
      <w:pPr>
        <w:ind w:left="720" w:hanging="360"/>
      </w:pPr>
      <w:rPr>
        <w:smallCaps w:val="false"/>
        <w:caps w:val="false"/>
        <w:sz w:val="24"/>
        <w:spacing w:val="0"/>
        <w:i w:val="false"/>
        <w:b w:val="false"/>
        <w:szCs w:val="24"/>
        <w:rFonts w:eastAsia="Times New Roman"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http://schemas.openxmlformats.org/wordprocessingml/2006/main">
  <w:zoom w:percent="12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CL"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CL"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Indent" w:uiPriority="0" w:qFormat="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c030c"/>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s-CL" w:eastAsia="en-US" w:bidi="ar-SA"/>
    </w:rPr>
  </w:style>
  <w:style w:type="paragraph" w:styleId="Ttulo1">
    <w:name w:val="Heading 1"/>
    <w:basedOn w:val="Normal"/>
    <w:next w:val="Normal"/>
    <w:link w:val="Ttulo1Car"/>
    <w:uiPriority w:val="9"/>
    <w:qFormat/>
    <w:rsid w:val="007d77d0"/>
    <w:pPr>
      <w:keepNext w:val="true"/>
      <w:keepLines/>
      <w:spacing w:before="480" w:after="0"/>
      <w:outlineLvl w:val="0"/>
    </w:pPr>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DefaultParagraphFont" w:default="1">
    <w:name w:val="Default Paragraph Font"/>
    <w:uiPriority w:val="1"/>
    <w:semiHidden/>
    <w:unhideWhenUsed/>
    <w:qFormat/>
    <w:rPr/>
  </w:style>
  <w:style w:type="character" w:styleId="EnlacedeInternet" w:customStyle="1">
    <w:name w:val="Enlace de Internet"/>
    <w:qFormat/>
    <w:rsid w:val="00d11b99"/>
    <w:rPr>
      <w:rFonts w:ascii="Times New Roman" w:hAnsi="Times New Roman" w:cs="Times New Roman"/>
      <w:color w:val="0000FF"/>
      <w:u w:val="single"/>
    </w:rPr>
  </w:style>
  <w:style w:type="character" w:styleId="EnlacedeInternetvisitado">
    <w:name w:val="Enlace de Internet visitado"/>
    <w:basedOn w:val="DefaultParagraphFont"/>
    <w:uiPriority w:val="99"/>
    <w:semiHidden/>
    <w:unhideWhenUsed/>
    <w:rsid w:val="00083738"/>
    <w:rPr>
      <w:color w:val="800080"/>
      <w:u w:val="single"/>
    </w:rPr>
  </w:style>
  <w:style w:type="character" w:styleId="EncabezadoCar" w:customStyle="1">
    <w:name w:val="Encabezado Car"/>
    <w:basedOn w:val="DefaultParagraphFont"/>
    <w:link w:val="Encabezado"/>
    <w:uiPriority w:val="99"/>
    <w:qFormat/>
    <w:rsid w:val="009d7e7c"/>
    <w:rPr/>
  </w:style>
  <w:style w:type="character" w:styleId="PiedepginaCar" w:customStyle="1">
    <w:name w:val="Pie de página Car"/>
    <w:basedOn w:val="DefaultParagraphFont"/>
    <w:link w:val="Piedepgina"/>
    <w:uiPriority w:val="99"/>
    <w:qFormat/>
    <w:rsid w:val="009d7e7c"/>
    <w:rPr/>
  </w:style>
  <w:style w:type="character" w:styleId="TextodegloboCar" w:customStyle="1">
    <w:name w:val="Texto de globo Car"/>
    <w:basedOn w:val="DefaultParagraphFont"/>
    <w:link w:val="Textodeglobo"/>
    <w:uiPriority w:val="99"/>
    <w:semiHidden/>
    <w:qFormat/>
    <w:rsid w:val="008b7557"/>
    <w:rPr>
      <w:rFonts w:ascii="Segoe UI" w:hAnsi="Segoe UI" w:cs="Segoe UI"/>
      <w:sz w:val="18"/>
      <w:szCs w:val="18"/>
    </w:rPr>
  </w:style>
  <w:style w:type="character" w:styleId="SangradetextonormalCar" w:customStyle="1">
    <w:name w:val="Sangría de texto normal Car"/>
    <w:basedOn w:val="DefaultParagraphFont"/>
    <w:link w:val="Sangradetextonormal"/>
    <w:qFormat/>
    <w:rsid w:val="0072750d"/>
    <w:rPr>
      <w:rFonts w:ascii="Arial" w:hAnsi="Arial" w:eastAsia="Times New Roman" w:cs="Arial"/>
      <w:sz w:val="24"/>
      <w:szCs w:val="24"/>
      <w:lang w:eastAsia="es-ES"/>
    </w:rPr>
  </w:style>
  <w:style w:type="character" w:styleId="Ttulo1Car" w:customStyle="1">
    <w:name w:val="Título 1 Car"/>
    <w:basedOn w:val="DefaultParagraphFont"/>
    <w:link w:val="Ttulo1"/>
    <w:uiPriority w:val="9"/>
    <w:qFormat/>
    <w:rsid w:val="007d77d0"/>
    <w:rPr>
      <w:rFonts w:ascii="Calibri Light" w:hAnsi="Calibri Light" w:eastAsia="新細明體" w:cs="" w:asciiTheme="majorHAnsi" w:cstheme="majorBidi" w:eastAsiaTheme="majorEastAsia" w:hAnsiTheme="majorHAnsi"/>
      <w:b/>
      <w:bCs/>
      <w:color w:val="2E74B5" w:themeColor="accent1" w:themeShade="bf"/>
      <w:sz w:val="28"/>
      <w:szCs w:val="28"/>
    </w:rPr>
  </w:style>
  <w:style w:type="character" w:styleId="Textoindependiente3Car" w:customStyle="1">
    <w:name w:val="Texto independiente 3 Car"/>
    <w:basedOn w:val="DefaultParagraphFont"/>
    <w:link w:val="Textoindependiente3"/>
    <w:uiPriority w:val="99"/>
    <w:semiHidden/>
    <w:qFormat/>
    <w:rsid w:val="00a34d3a"/>
    <w:rPr>
      <w:sz w:val="16"/>
      <w:szCs w:val="16"/>
    </w:rPr>
  </w:style>
  <w:style w:type="character" w:styleId="TextoindependienteCar" w:customStyle="1">
    <w:name w:val="Texto independiente Car"/>
    <w:basedOn w:val="DefaultParagraphFont"/>
    <w:link w:val="Textoindependiente"/>
    <w:uiPriority w:val="99"/>
    <w:qFormat/>
    <w:rsid w:val="00121022"/>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link w:val="TextoindependienteCar"/>
    <w:uiPriority w:val="99"/>
    <w:unhideWhenUsed/>
    <w:rsid w:val="00121022"/>
    <w:pPr>
      <w:spacing w:before="0" w:after="12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Xl63" w:customStyle="1">
    <w:name w:val="xl63"/>
    <w:basedOn w:val="Normal"/>
    <w:qFormat/>
    <w:rsid w:val="00083738"/>
    <w:pPr>
      <w:spacing w:lineRule="auto" w:line="240" w:beforeAutospacing="1" w:afterAutospacing="1"/>
    </w:pPr>
    <w:rPr>
      <w:rFonts w:ascii="Arial" w:hAnsi="Arial" w:eastAsia="Times New Roman" w:cs="Arial"/>
      <w:b/>
      <w:bCs/>
      <w:sz w:val="18"/>
      <w:szCs w:val="18"/>
      <w:lang w:eastAsia="es-CL"/>
    </w:rPr>
  </w:style>
  <w:style w:type="paragraph" w:styleId="Xl64" w:customStyle="1">
    <w:name w:val="xl64"/>
    <w:basedOn w:val="Normal"/>
    <w:qFormat/>
    <w:rsid w:val="00083738"/>
    <w:pPr>
      <w:spacing w:lineRule="auto" w:line="240" w:beforeAutospacing="1" w:afterAutospacing="1"/>
    </w:pPr>
    <w:rPr>
      <w:rFonts w:ascii="Times New Roman" w:hAnsi="Times New Roman" w:eastAsia="Times New Roman" w:cs="Times New Roman"/>
      <w:sz w:val="18"/>
      <w:szCs w:val="18"/>
      <w:lang w:eastAsia="es-CL"/>
    </w:rPr>
  </w:style>
  <w:style w:type="paragraph" w:styleId="Xl65" w:customStyle="1">
    <w:name w:val="xl65"/>
    <w:basedOn w:val="Normal"/>
    <w:qFormat/>
    <w:rsid w:val="00083738"/>
    <w:pP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66" w:customStyle="1">
    <w:name w:val="xl66"/>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67" w:customStyle="1">
    <w:name w:val="xl67"/>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68" w:customStyle="1">
    <w:name w:val="xl68"/>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69" w:customStyle="1">
    <w:name w:val="xl69"/>
    <w:basedOn w:val="Normal"/>
    <w:qFormat/>
    <w:rsid w:val="00083738"/>
    <w:pPr>
      <w:spacing w:lineRule="auto" w:line="240" w:beforeAutospacing="1" w:afterAutospacing="1"/>
    </w:pPr>
    <w:rPr>
      <w:rFonts w:ascii="Times New Roman" w:hAnsi="Times New Roman" w:eastAsia="Times New Roman" w:cs="Times New Roman"/>
      <w:sz w:val="16"/>
      <w:szCs w:val="16"/>
      <w:lang w:eastAsia="es-CL"/>
    </w:rPr>
  </w:style>
  <w:style w:type="paragraph" w:styleId="Xl70" w:customStyle="1">
    <w:name w:val="xl70"/>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1" w:customStyle="1">
    <w:name w:val="xl71"/>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72" w:customStyle="1">
    <w:name w:val="xl72"/>
    <w:basedOn w:val="Normal"/>
    <w:qFormat/>
    <w:rsid w:val="00083738"/>
    <w:pPr>
      <w:pBdr>
        <w:top w:val="single" w:sz="4" w:space="0" w:color="000000"/>
        <w:left w:val="single" w:sz="4" w:space="0" w:color="000000"/>
        <w:bottom w:val="single" w:sz="4"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73" w:customStyle="1">
    <w:name w:val="xl73"/>
    <w:basedOn w:val="Normal"/>
    <w:qFormat/>
    <w:rsid w:val="00083738"/>
    <w:pPr>
      <w:spacing w:lineRule="auto" w:line="240" w:beforeAutospacing="1" w:afterAutospacing="1"/>
      <w:jc w:val="center"/>
      <w:textAlignment w:val="center"/>
    </w:pPr>
    <w:rPr>
      <w:rFonts w:ascii="Times New Roman" w:hAnsi="Times New Roman" w:eastAsia="Times New Roman" w:cs="Times New Roman"/>
      <w:sz w:val="18"/>
      <w:szCs w:val="18"/>
      <w:lang w:eastAsia="es-CL"/>
    </w:rPr>
  </w:style>
  <w:style w:type="paragraph" w:styleId="Xl74" w:customStyle="1">
    <w:name w:val="xl74"/>
    <w:basedOn w:val="Normal"/>
    <w:qFormat/>
    <w:rsid w:val="00083738"/>
    <w:pPr>
      <w:spacing w:lineRule="auto" w:line="240" w:beforeAutospacing="1" w:afterAutospacing="1"/>
      <w:jc w:val="center"/>
    </w:pPr>
    <w:rPr>
      <w:rFonts w:ascii="Arial" w:hAnsi="Arial" w:eastAsia="Times New Roman" w:cs="Arial"/>
      <w:b/>
      <w:bCs/>
      <w:sz w:val="24"/>
      <w:szCs w:val="24"/>
      <w:lang w:eastAsia="es-CL"/>
    </w:rPr>
  </w:style>
  <w:style w:type="paragraph" w:styleId="Xl75" w:customStyle="1">
    <w:name w:val="xl75"/>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6" w:customStyle="1">
    <w:name w:val="xl76"/>
    <w:basedOn w:val="Normal"/>
    <w:qFormat/>
    <w:rsid w:val="00083738"/>
    <w:pPr>
      <w:pBdr>
        <w:top w:val="single" w:sz="8" w:space="0" w:color="000000"/>
        <w:bottom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7" w:customStyle="1">
    <w:name w:val="xl77"/>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8" w:customStyle="1">
    <w:name w:val="xl78"/>
    <w:basedOn w:val="Normal"/>
    <w:qFormat/>
    <w:rsid w:val="00083738"/>
    <w:pPr>
      <w:pBdr>
        <w:top w:val="single" w:sz="8" w:space="0" w:color="000000"/>
        <w:left w:val="single" w:sz="4" w:space="0" w:color="000000"/>
        <w:bottom w:val="single" w:sz="8" w:space="0" w:color="000000"/>
        <w:right w:val="single" w:sz="8"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79" w:customStyle="1">
    <w:name w:val="xl79"/>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both"/>
      <w:textAlignment w:val="center"/>
    </w:pPr>
    <w:rPr>
      <w:rFonts w:ascii="Arial" w:hAnsi="Arial" w:eastAsia="Times New Roman" w:cs="Arial"/>
      <w:sz w:val="18"/>
      <w:szCs w:val="18"/>
      <w:lang w:eastAsia="es-CL"/>
    </w:rPr>
  </w:style>
  <w:style w:type="paragraph" w:styleId="Xl80" w:customStyle="1">
    <w:name w:val="xl8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1" w:customStyle="1">
    <w:name w:val="xl81"/>
    <w:basedOn w:val="Normal"/>
    <w:qFormat/>
    <w:rsid w:val="00083738"/>
    <w:pPr>
      <w:pBdr>
        <w:top w:val="single" w:sz="8" w:space="0" w:color="000000"/>
        <w:left w:val="single" w:sz="4" w:space="0" w:color="000000"/>
        <w:bottom w:val="single" w:sz="4" w:space="0" w:color="000000"/>
        <w:right w:val="single" w:sz="8"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2" w:customStyle="1">
    <w:name w:val="xl8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3" w:customStyle="1">
    <w:name w:val="xl83"/>
    <w:basedOn w:val="Normal"/>
    <w:qFormat/>
    <w:rsid w:val="00083738"/>
    <w:pPr>
      <w:pBdr>
        <w:top w:val="single" w:sz="4" w:space="0" w:color="000000"/>
        <w:left w:val="single" w:sz="4" w:space="0" w:color="000000"/>
        <w:bottom w:val="single" w:sz="8" w:space="0" w:color="000000"/>
        <w:right w:val="single" w:sz="8"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4" w:customStyle="1">
    <w:name w:val="xl84"/>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5" w:customStyle="1">
    <w:name w:val="xl85"/>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textAlignment w:val="top"/>
    </w:pPr>
    <w:rPr>
      <w:rFonts w:ascii="Arial" w:hAnsi="Arial" w:eastAsia="Times New Roman" w:cs="Arial"/>
      <w:sz w:val="18"/>
      <w:szCs w:val="18"/>
      <w:lang w:eastAsia="es-CL"/>
    </w:rPr>
  </w:style>
  <w:style w:type="paragraph" w:styleId="Xl86" w:customStyle="1">
    <w:name w:val="xl86"/>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7" w:customStyle="1">
    <w:name w:val="xl87"/>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pPr>
    <w:rPr>
      <w:rFonts w:ascii="Times New Roman" w:hAnsi="Times New Roman" w:eastAsia="Times New Roman" w:cs="Times New Roman"/>
      <w:sz w:val="18"/>
      <w:szCs w:val="18"/>
      <w:lang w:eastAsia="es-CL"/>
    </w:rPr>
  </w:style>
  <w:style w:type="paragraph" w:styleId="Xl88" w:customStyle="1">
    <w:name w:val="xl88"/>
    <w:basedOn w:val="Normal"/>
    <w:qFormat/>
    <w:rsid w:val="00083738"/>
    <w:pPr>
      <w:pBdr>
        <w:top w:val="single" w:sz="8"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89" w:customStyle="1">
    <w:name w:val="xl89"/>
    <w:basedOn w:val="Normal"/>
    <w:qFormat/>
    <w:rsid w:val="00083738"/>
    <w:pPr>
      <w:pBdr>
        <w:top w:val="single" w:sz="8"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b/>
      <w:bCs/>
      <w:sz w:val="18"/>
      <w:szCs w:val="18"/>
      <w:lang w:eastAsia="es-CL"/>
    </w:rPr>
  </w:style>
  <w:style w:type="paragraph" w:styleId="Xl90" w:customStyle="1">
    <w:name w:val="xl90"/>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1" w:customStyle="1">
    <w:name w:val="xl91"/>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2" w:customStyle="1">
    <w:name w:val="xl92"/>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sz w:val="18"/>
      <w:szCs w:val="18"/>
      <w:lang w:eastAsia="es-CL"/>
    </w:rPr>
  </w:style>
  <w:style w:type="paragraph" w:styleId="Xl93" w:customStyle="1">
    <w:name w:val="xl93"/>
    <w:basedOn w:val="Normal"/>
    <w:qFormat/>
    <w:rsid w:val="0008373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4" w:customStyle="1">
    <w:name w:val="xl94"/>
    <w:basedOn w:val="Normal"/>
    <w:qFormat/>
    <w:rsid w:val="00083738"/>
    <w:pPr>
      <w:pBdr>
        <w:top w:val="single" w:sz="4" w:space="0" w:color="000000"/>
        <w:left w:val="single" w:sz="4" w:space="0" w:color="000000"/>
        <w:bottom w:val="single" w:sz="8"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5" w:customStyle="1">
    <w:name w:val="xl95"/>
    <w:basedOn w:val="Normal"/>
    <w:qFormat/>
    <w:rsid w:val="00083738"/>
    <w:pPr>
      <w:pBdr>
        <w:top w:val="single" w:sz="8"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Arial" w:hAnsi="Arial" w:eastAsia="Times New Roman" w:cs="Arial"/>
      <w:sz w:val="16"/>
      <w:szCs w:val="16"/>
      <w:lang w:eastAsia="es-CL"/>
    </w:rPr>
  </w:style>
  <w:style w:type="paragraph" w:styleId="Xl96" w:customStyle="1">
    <w:name w:val="xl96"/>
    <w:basedOn w:val="Normal"/>
    <w:qFormat/>
    <w:rsid w:val="00083738"/>
    <w:pPr>
      <w:spacing w:lineRule="auto" w:line="240" w:beforeAutospacing="1" w:afterAutospacing="1"/>
      <w:jc w:val="center"/>
    </w:pPr>
    <w:rPr>
      <w:rFonts w:ascii="Arial" w:hAnsi="Arial" w:eastAsia="Times New Roman" w:cs="Arial"/>
      <w:b/>
      <w:bCs/>
      <w:sz w:val="24"/>
      <w:szCs w:val="24"/>
      <w:u w:val="single"/>
      <w:lang w:eastAsia="es-CL"/>
    </w:rPr>
  </w:style>
  <w:style w:type="paragraph" w:styleId="Xl97" w:customStyle="1">
    <w:name w:val="xl97"/>
    <w:basedOn w:val="Normal"/>
    <w:qFormat/>
    <w:rsid w:val="00083738"/>
    <w:pPr>
      <w:pBdr>
        <w:top w:val="single" w:sz="8"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8" w:customStyle="1">
    <w:name w:val="xl98"/>
    <w:basedOn w:val="Normal"/>
    <w:qFormat/>
    <w:rsid w:val="00083738"/>
    <w:pPr>
      <w:pBdr>
        <w:top w:val="single" w:sz="4" w:space="0" w:color="000000"/>
        <w:left w:val="single" w:sz="8" w:space="0" w:color="000000"/>
        <w:bottom w:val="single" w:sz="4"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Xl99" w:customStyle="1">
    <w:name w:val="xl99"/>
    <w:basedOn w:val="Normal"/>
    <w:qFormat/>
    <w:rsid w:val="00083738"/>
    <w:pPr>
      <w:pBdr>
        <w:top w:val="single" w:sz="4" w:space="0" w:color="000000"/>
        <w:left w:val="single" w:sz="8" w:space="0" w:color="000000"/>
        <w:bottom w:val="single" w:sz="8" w:space="0" w:color="000000"/>
        <w:right w:val="single" w:sz="4" w:space="0" w:color="000000"/>
      </w:pBdr>
      <w:spacing w:lineRule="auto" w:line="240" w:beforeAutospacing="1" w:afterAutospacing="1"/>
      <w:jc w:val="center"/>
      <w:textAlignment w:val="center"/>
    </w:pPr>
    <w:rPr>
      <w:rFonts w:ascii="Arial" w:hAnsi="Arial" w:eastAsia="Times New Roman" w:cs="Arial"/>
      <w:b/>
      <w:bCs/>
      <w:sz w:val="18"/>
      <w:szCs w:val="18"/>
      <w:lang w:eastAsia="es-CL"/>
    </w:rPr>
  </w:style>
  <w:style w:type="paragraph" w:styleId="Cabeceraypie">
    <w:name w:val="Cabecera y pie"/>
    <w:basedOn w:val="Normal"/>
    <w:qFormat/>
    <w:pPr/>
    <w:rPr/>
  </w:style>
  <w:style w:type="paragraph" w:styleId="Cabecera">
    <w:name w:val="Header"/>
    <w:basedOn w:val="Normal"/>
    <w:link w:val="EncabezadoCar"/>
    <w:uiPriority w:val="99"/>
    <w:unhideWhenUsed/>
    <w:rsid w:val="009d7e7c"/>
    <w:pPr>
      <w:tabs>
        <w:tab w:val="clear" w:pos="708"/>
        <w:tab w:val="center" w:pos="4419" w:leader="none"/>
        <w:tab w:val="right" w:pos="8838" w:leader="none"/>
      </w:tabs>
      <w:spacing w:lineRule="auto" w:line="240" w:before="0" w:after="0"/>
    </w:pPr>
    <w:rPr/>
  </w:style>
  <w:style w:type="paragraph" w:styleId="Piedepgina">
    <w:name w:val="Footer"/>
    <w:basedOn w:val="Normal"/>
    <w:link w:val="PiedepginaCar"/>
    <w:uiPriority w:val="99"/>
    <w:unhideWhenUsed/>
    <w:rsid w:val="009d7e7c"/>
    <w:pPr>
      <w:tabs>
        <w:tab w:val="clear" w:pos="708"/>
        <w:tab w:val="center" w:pos="4419" w:leader="none"/>
        <w:tab w:val="right" w:pos="8838" w:leader="none"/>
      </w:tabs>
      <w:spacing w:lineRule="auto" w:line="240" w:before="0" w:after="0"/>
    </w:pPr>
    <w:rPr/>
  </w:style>
  <w:style w:type="paragraph" w:styleId="BalloonText">
    <w:name w:val="Balloon Text"/>
    <w:basedOn w:val="Normal"/>
    <w:link w:val="TextodegloboCar"/>
    <w:uiPriority w:val="99"/>
    <w:semiHidden/>
    <w:unhideWhenUsed/>
    <w:qFormat/>
    <w:rsid w:val="008b7557"/>
    <w:pPr>
      <w:spacing w:lineRule="auto" w:line="240" w:before="0" w:after="0"/>
    </w:pPr>
    <w:rPr>
      <w:rFonts w:ascii="Segoe UI" w:hAnsi="Segoe UI" w:cs="Segoe UI"/>
      <w:sz w:val="18"/>
      <w:szCs w:val="18"/>
    </w:rPr>
  </w:style>
  <w:style w:type="paragraph" w:styleId="ListParagraph">
    <w:name w:val="List Paragraph"/>
    <w:basedOn w:val="Normal"/>
    <w:qFormat/>
    <w:rsid w:val="008757a3"/>
    <w:pPr>
      <w:spacing w:before="0" w:after="160"/>
      <w:ind w:left="720" w:hanging="0"/>
      <w:contextualSpacing/>
    </w:pPr>
    <w:rPr/>
  </w:style>
  <w:style w:type="paragraph" w:styleId="Cuerpodetextoconsangra">
    <w:name w:val="Body Text Indent"/>
    <w:basedOn w:val="Normal"/>
    <w:link w:val="SangradetextonormalCar"/>
    <w:semiHidden/>
    <w:qFormat/>
    <w:rsid w:val="0072750d"/>
    <w:pPr>
      <w:spacing w:lineRule="auto" w:line="240" w:before="0" w:after="0"/>
      <w:ind w:left="4560" w:hanging="0"/>
      <w:jc w:val="both"/>
    </w:pPr>
    <w:rPr>
      <w:rFonts w:ascii="Arial" w:hAnsi="Arial" w:eastAsia="Times New Roman" w:cs="Arial"/>
      <w:sz w:val="24"/>
      <w:szCs w:val="24"/>
      <w:lang w:eastAsia="es-ES"/>
    </w:rPr>
  </w:style>
  <w:style w:type="paragraph" w:styleId="NormalWeb">
    <w:name w:val="Normal (Web)"/>
    <w:basedOn w:val="Normal"/>
    <w:qFormat/>
    <w:rsid w:val="0097641b"/>
    <w:pPr>
      <w:spacing w:lineRule="auto" w:line="288" w:beforeAutospacing="1" w:after="142"/>
    </w:pPr>
    <w:rPr>
      <w:rFonts w:ascii="Arial Unicode MS" w:hAnsi="Arial Unicode MS" w:eastAsia="Times New Roman" w:cs="Arial Unicode MS"/>
      <w:sz w:val="24"/>
      <w:szCs w:val="24"/>
      <w:lang w:val="es-ES" w:eastAsia="es-ES"/>
    </w:rPr>
  </w:style>
  <w:style w:type="paragraph" w:styleId="BodyText3">
    <w:name w:val="Body Text 3"/>
    <w:basedOn w:val="Normal"/>
    <w:link w:val="Textoindependiente3Car"/>
    <w:uiPriority w:val="99"/>
    <w:semiHidden/>
    <w:unhideWhenUsed/>
    <w:qFormat/>
    <w:rsid w:val="00a34d3a"/>
    <w:pPr>
      <w:spacing w:before="0" w:after="120"/>
    </w:pPr>
    <w:rPr>
      <w:sz w:val="16"/>
      <w:szCs w:val="16"/>
    </w:rPr>
  </w:style>
  <w:style w:type="paragraph" w:styleId="Sangra2detindependiente1" w:customStyle="1">
    <w:name w:val="Sangría 2 de t. independiente1"/>
    <w:basedOn w:val="Normal"/>
    <w:qFormat/>
    <w:rsid w:val="00ef44c5"/>
    <w:pPr>
      <w:suppressAutoHyphens w:val="true"/>
      <w:spacing w:lineRule="auto" w:line="240" w:before="0" w:after="0"/>
      <w:ind w:left="412" w:hanging="412"/>
      <w:jc w:val="both"/>
    </w:pPr>
    <w:rPr>
      <w:rFonts w:ascii="Arial" w:hAnsi="Arial" w:eastAsia="Times New Roman" w:cs="Arial"/>
      <w:bCs/>
      <w:sz w:val="24"/>
      <w:szCs w:val="24"/>
      <w:lang w:eastAsia="zh-CN"/>
    </w:rPr>
  </w:style>
  <w:style w:type="paragraph" w:styleId="Prrafodelista1" w:customStyle="1">
    <w:name w:val="Párrafo de lista1"/>
    <w:basedOn w:val="Normal"/>
    <w:uiPriority w:val="34"/>
    <w:qFormat/>
    <w:rsid w:val="00f422b2"/>
    <w:pPr>
      <w:suppressAutoHyphens w:val="true"/>
      <w:spacing w:lineRule="auto" w:line="254"/>
      <w:ind w:left="720" w:hanging="0"/>
    </w:pPr>
    <w:rPr>
      <w:rFonts w:ascii="Calibri" w:hAnsi="Calibri" w:eastAsia="Times New Roman" w:cs="Calibri"/>
      <w:lang w:eastAsia="zh-CN"/>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083738"/>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1">
    <w:name w:val="Tabla con cuadrícula1"/>
    <w:basedOn w:val="Tablanormal"/>
    <w:uiPriority w:val="59"/>
    <w:rsid w:val="00bb65a5"/>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Tablaconcuadrcula2">
    <w:name w:val="Tabla con cuadrícula2"/>
    <w:basedOn w:val="Tablanormal"/>
    <w:uiPriority w:val="59"/>
    <w:rsid w:val="00325bc7"/>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jcacerese@dgtm.cl" TargetMode="External"/><Relationship Id="rId3" Type="http://schemas.openxmlformats.org/officeDocument/2006/relationships/hyperlink" Target="mailto:jcacerese@dgtm.cl" TargetMode="External"/><Relationship Id="rId4" Type="http://schemas.openxmlformats.org/officeDocument/2006/relationships/hyperlink" Target="mailto:rgaratem@dgtm.cl" TargetMode="External"/><Relationship Id="rId5" Type="http://schemas.openxmlformats.org/officeDocument/2006/relationships/hyperlink" Target="mailto:rgaratem@dgtm.cl" TargetMode="External"/><Relationship Id="rId6" Type="http://schemas.openxmlformats.org/officeDocument/2006/relationships/hyperlink" Target="mailto:eyanez@dgtm.cl" TargetMode="External"/><Relationship Id="rId7" Type="http://schemas.openxmlformats.org/officeDocument/2006/relationships/hyperlink" Target="mailto:ccruzat@dgtm.cl" TargetMode="External"/><Relationship Id="rId8" Type="http://schemas.openxmlformats.org/officeDocument/2006/relationships/hyperlink" Target="mailto:ccruzat@dgtm.cl" TargetMode="External"/><Relationship Id="rId9" Type="http://schemas.openxmlformats.org/officeDocument/2006/relationships/hyperlink" Target="mailto:ccruzat@dgtm.cl" TargetMode="External"/><Relationship Id="rId10" Type="http://schemas.openxmlformats.org/officeDocument/2006/relationships/hyperlink" Target="mailto:ccruzat@dgtm.cl" TargetMode="External"/><Relationship Id="rId11" Type="http://schemas.openxmlformats.org/officeDocument/2006/relationships/hyperlink" Target="mailto:ccruzat@dgtm.cl" TargetMode="External"/><Relationship Id="rId12" Type="http://schemas.openxmlformats.org/officeDocument/2006/relationships/hyperlink" Target="mailto:ccruzat@dgtm.cl" TargetMode="External"/><Relationship Id="rId13" Type="http://schemas.openxmlformats.org/officeDocument/2006/relationships/hyperlink" Target="mailto:ccruzat@dgtm.cl" TargetMode="External"/><Relationship Id="rId14" Type="http://schemas.openxmlformats.org/officeDocument/2006/relationships/hyperlink" Target="mailto:ccruzat@dgtm.cl"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Relationship Id="rId21"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7D7B4-6E0F-4A38-B3FA-A944F8F0B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Application>LibreOffice/6.4.0.3$Windows_X86_64 LibreOffice_project/b0a288ab3d2d4774cb44b62f04d5d28733ac6df8</Application>
  <Pages>14</Pages>
  <Words>5113</Words>
  <Characters>27898</Characters>
  <CharactersWithSpaces>33193</CharactersWithSpaces>
  <Paragraphs>415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2021-11-02T18:54:00Z</dcterms:created>
  <dc:creator>Luis Zamora Inostroza</dc:creator>
  <dc:description/>
  <dc:language>es-CL</dc:language>
  <cp:lastModifiedBy>Luis Redlich Contreras</cp:lastModifiedBy>
  <cp:lastPrinted>2021-11-15T19:47:00Z</cp:lastPrinted>
  <dcterms:modified xsi:type="dcterms:W3CDTF">2021-12-21T12:03:00Z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